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日常预付款及其核销有关业务操作指引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处理概述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日常采购业务中也会有预付一部分材料款情况，发生预付款业务时需要在</w:t>
      </w:r>
      <w:r>
        <w:rPr>
          <w:rFonts w:hint="eastAsia"/>
          <w:lang w:val="en-US" w:eastAsia="zh-CN"/>
        </w:rPr>
        <w:t>NC进行相应的操作。由于没有单独的预付模块，则需要在应付模块的付款单管理自制单据。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具体操作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预付款项时，自制付款单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打开付款单管理节点，点击新增-自制，自制一张</w:t>
      </w:r>
      <w:r>
        <w:rPr>
          <w:rFonts w:hint="eastAsia"/>
          <w:b w:val="0"/>
          <w:bCs w:val="0"/>
          <w:color w:val="FF0000"/>
          <w:lang w:val="en-US" w:eastAsia="zh-CN"/>
        </w:rPr>
        <w:t>2000元，表体付款性质为：预付款</w:t>
      </w:r>
      <w:r>
        <w:rPr>
          <w:rFonts w:hint="eastAsia"/>
          <w:b w:val="0"/>
          <w:bCs w:val="0"/>
          <w:lang w:val="en-US" w:eastAsia="zh-CN"/>
        </w:rPr>
        <w:t>的付款单，如下图所示：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注意：不能直接新增付款结算单进行预付业务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080895"/>
            <wp:effectExtent l="0" t="0" r="254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单据字段信息填写完整后点击“保存”以及“审批”。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971040"/>
            <wp:effectExtent l="0" t="0" r="571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收到采购发票后自动生成对应的应付单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采购发票审批后，自动生成一张应付单（金额为</w:t>
      </w:r>
      <w:r>
        <w:rPr>
          <w:rFonts w:hint="eastAsia"/>
          <w:b w:val="0"/>
          <w:bCs w:val="0"/>
          <w:color w:val="FF0000"/>
          <w:lang w:val="en-US" w:eastAsia="zh-CN"/>
        </w:rPr>
        <w:t>3755.04</w:t>
      </w:r>
      <w:r>
        <w:rPr>
          <w:rFonts w:hint="eastAsia"/>
          <w:b w:val="0"/>
          <w:bCs w:val="0"/>
          <w:lang w:val="en-US" w:eastAsia="zh-CN"/>
        </w:rPr>
        <w:t>），在应付管理节点查询出该张应付单，点击“修改”后复制表体</w:t>
      </w:r>
      <w:r>
        <w:rPr>
          <w:rFonts w:hint="eastAsia"/>
          <w:b w:val="0"/>
          <w:bCs w:val="0"/>
          <w:color w:val="FF0000"/>
          <w:lang w:val="en-US" w:eastAsia="zh-CN"/>
        </w:rPr>
        <w:t>“部门”</w:t>
      </w:r>
      <w:r>
        <w:rPr>
          <w:rFonts w:hint="eastAsia"/>
          <w:b w:val="0"/>
          <w:bCs w:val="0"/>
          <w:lang w:val="en-US" w:eastAsia="zh-CN"/>
        </w:rPr>
        <w:t>字段粘贴到该字段，后会自动带出</w:t>
      </w:r>
      <w:r>
        <w:rPr>
          <w:rFonts w:hint="eastAsia"/>
          <w:b w:val="0"/>
          <w:bCs w:val="0"/>
          <w:color w:val="FF0000"/>
          <w:lang w:val="en-US" w:eastAsia="zh-CN"/>
        </w:rPr>
        <w:t>款项类型、年度暂估价、科目（天力借方），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036445"/>
            <wp:effectExtent l="0" t="0" r="7620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检查信息是否正确，正确则点击“保存”、“审批”，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62880" cy="1783715"/>
            <wp:effectExtent l="0" t="0" r="10160" b="146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实际付款前预付与应付需要进行手工核销</w:t>
      </w:r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打开手工核销节点，根据条件查询出核销的付款单与应付单，如下图所示：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804160"/>
            <wp:effectExtent l="0" t="0" r="6985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252980"/>
            <wp:effectExtent l="0" t="0" r="6350" b="254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查询出核销对象后，勾选上需要进行核销的单据，点击按借方匹配后，应付单中本次结算的金额变为与付款单一致的</w:t>
      </w:r>
      <w:r>
        <w:rPr>
          <w:rFonts w:hint="eastAsia"/>
          <w:b w:val="0"/>
          <w:bCs w:val="0"/>
          <w:color w:val="FF0000"/>
          <w:lang w:val="en-US" w:eastAsia="zh-CN"/>
        </w:rPr>
        <w:t>2000</w:t>
      </w:r>
      <w:r>
        <w:rPr>
          <w:rFonts w:hint="eastAsia"/>
          <w:b w:val="0"/>
          <w:bCs w:val="0"/>
          <w:lang w:val="en-US" w:eastAsia="zh-CN"/>
        </w:rPr>
        <w:t>，点击“核销”则核销成功，如下图所示：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240280"/>
            <wp:effectExtent l="0" t="0" r="381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226310"/>
            <wp:effectExtent l="0" t="0" r="2540" b="1397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核销后会出现一行核销记录，勾选该条记录，点击核销明细可查看核销的明细信息，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在【核销查询】可以查询出手工核销后的单据。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1801495"/>
            <wp:effectExtent l="0" t="0" r="4445" b="1206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155065"/>
            <wp:effectExtent l="0" t="0" r="1270" b="317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核销后生成的核销单需要生成对应的凭证，打开单据生成节点，查询出该张核销单，如下图：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7325" cy="3161665"/>
            <wp:effectExtent l="0" t="0" r="5715" b="825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785" cy="1350010"/>
            <wp:effectExtent l="0" t="0" r="8255" b="635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5）查询出核销单后点击“生成-前台生成”，查看摘要、科目及金额是否正确，正确后点击“保存”、后续需要“签字”、“审核”、“记账”。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3515" cy="2114550"/>
            <wp:effectExtent l="0" t="0" r="9525" b="3810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实际付款时</w:t>
      </w:r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核销后，直接参照应付单做付款即可，打开付款单管理节点，点击“新增-应付单”，根据单据号查询出该张应付单，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493645"/>
            <wp:effectExtent l="0" t="0" r="5080" b="5715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</w:pPr>
      <w:r>
        <w:rPr>
          <w:rFonts w:hint="eastAsia"/>
          <w:b w:val="0"/>
          <w:bCs w:val="0"/>
          <w:lang w:val="en-US" w:eastAsia="zh-CN"/>
        </w:rPr>
        <w:t>可以看到核销之后，参照该张应付单生成付款单时，可用金额为</w:t>
      </w:r>
      <w:r>
        <w:rPr>
          <w:rFonts w:hint="eastAsia"/>
          <w:b w:val="0"/>
          <w:bCs w:val="0"/>
          <w:color w:val="FF0000"/>
          <w:lang w:val="en-US" w:eastAsia="zh-CN"/>
        </w:rPr>
        <w:t>1755.04（3755.04-2000）</w:t>
      </w:r>
      <w:r>
        <w:drawing>
          <wp:inline distT="0" distB="0" distL="114300" distR="114300">
            <wp:extent cx="5267960" cy="2602230"/>
            <wp:effectExtent l="0" t="0" r="5080" b="3810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1962785"/>
            <wp:effectExtent l="0" t="0" r="13970" b="3175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3）付款单填写完整后点击“保存”、“审批”即可。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925EB"/>
    <w:multiLevelType w:val="singleLevel"/>
    <w:tmpl w:val="8D2925E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A483048"/>
    <w:multiLevelType w:val="singleLevel"/>
    <w:tmpl w:val="AA48304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F2F13E5"/>
    <w:multiLevelType w:val="singleLevel"/>
    <w:tmpl w:val="DF2F13E5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E268128F"/>
    <w:multiLevelType w:val="singleLevel"/>
    <w:tmpl w:val="E268128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3E32A39F"/>
    <w:multiLevelType w:val="singleLevel"/>
    <w:tmpl w:val="3E32A39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6E3B"/>
    <w:rsid w:val="284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2021-01-21T03:47:00Z</dcterms:created>
  <dc:creator>ttc</dc:creator>
  <cp:lastModifiedBy>ttc</cp:lastModifiedBy>
  <dcterms:modified xsi:type="dcterms:W3CDTF">2021-01-21T03:48:21Z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