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银行对账操作手册</w:t>
      </w:r>
    </w:p>
    <w:p>
      <w:pPr>
        <w:pStyle w:val="2"/>
        <w:numPr>
          <w:ilvl w:val="0"/>
          <w:numId w:val="1"/>
        </w:numPr>
      </w:pPr>
      <w:r>
        <w:rPr>
          <w:rFonts w:hint="eastAsia"/>
        </w:rPr>
        <w:t>银行对账初始化</w:t>
      </w:r>
    </w:p>
    <w:p>
      <w:pPr>
        <w:pStyle w:val="7"/>
      </w:pPr>
      <w:r>
        <w:rPr>
          <w:rFonts w:hint="eastAsia"/>
        </w:rPr>
        <w:t>【资金管理/现金管理/银行对账/对账账户初始化】</w:t>
      </w:r>
    </w:p>
    <w:p>
      <w:pPr>
        <w:pStyle w:val="3"/>
        <w:numPr>
          <w:ilvl w:val="0"/>
          <w:numId w:val="2"/>
        </w:numPr>
      </w:pPr>
      <w:r>
        <w:rPr>
          <w:rFonts w:hint="eastAsia"/>
        </w:rPr>
        <w:t>新增</w:t>
      </w:r>
    </w:p>
    <w:p>
      <w:pPr>
        <w:pStyle w:val="7"/>
      </w:pPr>
      <w:r>
        <w:rPr>
          <w:rFonts w:hint="eastAsia"/>
        </w:rPr>
        <w:t>在进行第一次银行对账前，需要【新增】对账的账户，并指出对账账户的数据来源、启用日期、及启用时的对账单银行存款余额，【启用】后录入每个对账账户在启用日期前的【期初未达】。</w:t>
      </w:r>
    </w:p>
    <w:p>
      <w:pPr>
        <w:outlineLvl w:val="9"/>
      </w:pPr>
      <w:r>
        <w:rPr>
          <w:rFonts w:hint="eastAsia"/>
        </w:rPr>
        <w:t>账户数据来源：凭证</w:t>
      </w:r>
    </w:p>
    <w:p>
      <w:r>
        <w:drawing>
          <wp:inline distT="0" distB="0" distL="0" distR="0">
            <wp:extent cx="5274310" cy="3321050"/>
            <wp:effectExtent l="0" t="0" r="1397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4310" cy="3321472"/>
                    </a:xfrm>
                    <a:prstGeom prst="rect">
                      <a:avLst/>
                    </a:prstGeom>
                  </pic:spPr>
                </pic:pic>
              </a:graphicData>
            </a:graphic>
          </wp:inline>
        </w:drawing>
      </w:r>
    </w:p>
    <w:p>
      <w:pPr>
        <w:pStyle w:val="7"/>
      </w:pPr>
      <w:r>
        <w:rPr>
          <w:rFonts w:hint="eastAsia"/>
        </w:rPr>
        <w:t>如上图所示，账户数据来源选择为“凭证”，即根据总账系统的会计凭证与银行对账单进行对账，需要指定银行账户及该账户总账核算的科目+辅助核算项目。</w:t>
      </w:r>
    </w:p>
    <w:p>
      <w:pPr>
        <w:rPr>
          <w:rFonts w:hint="eastAsia"/>
        </w:rPr>
      </w:pPr>
      <w:r>
        <w:rPr>
          <w:rFonts w:hint="eastAsia"/>
        </w:rPr>
        <w:br w:type="page"/>
      </w:r>
    </w:p>
    <w:p>
      <w:pPr>
        <w:outlineLvl w:val="9"/>
      </w:pPr>
      <w:r>
        <w:rPr>
          <w:rFonts w:hint="eastAsia"/>
        </w:rPr>
        <w:t>账户数据来源：资金账</w:t>
      </w:r>
    </w:p>
    <w:p>
      <w:r>
        <w:drawing>
          <wp:inline distT="0" distB="0" distL="0" distR="0">
            <wp:extent cx="4756785" cy="3914140"/>
            <wp:effectExtent l="0" t="0" r="1333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4756785" cy="3914140"/>
                    </a:xfrm>
                    <a:prstGeom prst="rect">
                      <a:avLst/>
                    </a:prstGeom>
                  </pic:spPr>
                </pic:pic>
              </a:graphicData>
            </a:graphic>
          </wp:inline>
        </w:drawing>
      </w:r>
    </w:p>
    <w:p>
      <w:pPr>
        <w:pStyle w:val="7"/>
      </w:pPr>
      <w:r>
        <w:rPr>
          <w:rFonts w:hint="eastAsia"/>
        </w:rPr>
        <w:t>如上图所示，账户数据来源选择为“资金账”，即根据资金系统的单据与银行对账单进行对账，只需指定银行账户即可。</w:t>
      </w:r>
    </w:p>
    <w:p/>
    <w:p>
      <w:pPr>
        <w:rPr>
          <w:b/>
        </w:rPr>
      </w:pPr>
      <w:r>
        <w:rPr>
          <w:rFonts w:hint="eastAsia"/>
          <w:b/>
        </w:rPr>
        <w:t>字段说明：</w:t>
      </w:r>
    </w:p>
    <w:p>
      <w:r>
        <w:rPr>
          <w:rFonts w:hint="eastAsia"/>
          <w:b/>
        </w:rPr>
        <w:t>科目：</w:t>
      </w:r>
      <w:r>
        <w:rPr>
          <w:rFonts w:hint="eastAsia"/>
        </w:rPr>
        <w:t>选择要对账的科目，若账户数据来源为凭证，则必须录入科目，科目可为末级或非末级科目。同时，若该科目设有“账户”的辅助核算，则可选择具体的账户辅助项。</w:t>
      </w:r>
    </w:p>
    <w:p>
      <w:pPr>
        <w:pStyle w:val="7"/>
        <w:ind w:firstLine="0" w:firstLineChars="0"/>
      </w:pPr>
      <w:r>
        <w:rPr>
          <w:rFonts w:hint="eastAsia"/>
          <w:b/>
          <w:color w:val="FF0000"/>
        </w:rPr>
        <w:t>对账标准：</w:t>
      </w:r>
      <w:r>
        <w:rPr>
          <w:rFonts w:hint="eastAsia"/>
        </w:rPr>
        <w:t>金额相等方向相同是指对账中该账户银行日记账和银行对账单金额相同借贷方向也相同的单据；金额相等方向相反是指对账中该账户银行日记账和银行对账单金额相同但借贷方向相反的单据。</w:t>
      </w:r>
    </w:p>
    <w:p>
      <w:r>
        <w:rPr>
          <w:rFonts w:hint="eastAsia"/>
          <w:b/>
        </w:rPr>
        <w:t>应用范围：</w:t>
      </w:r>
      <w:r>
        <w:rPr>
          <w:rFonts w:hint="eastAsia"/>
        </w:rPr>
        <w:t>选择公司公用，则登录到该公司有相关节点权限的操作员均可见可用；选择了指定操作员后，可按用户或角色指定，只有关联了的用户和操作员才可见可用。</w:t>
      </w:r>
    </w:p>
    <w:p>
      <w:pPr>
        <w:rPr>
          <w:rFonts w:hint="eastAsia"/>
        </w:rPr>
      </w:pPr>
      <w:r>
        <w:rPr>
          <w:rFonts w:hint="eastAsia"/>
          <w:b/>
          <w:color w:val="FF0000"/>
        </w:rPr>
        <w:t>包含未记账凭证：</w:t>
      </w:r>
      <w:r>
        <w:rPr>
          <w:rFonts w:hint="eastAsia"/>
        </w:rPr>
        <w:t xml:space="preserve">选择了该选项，则在银行对账查询单位日记账时包括未记账凭证的记录。 </w:t>
      </w:r>
    </w:p>
    <w:p>
      <w:pPr>
        <w:rPr>
          <w:rFonts w:hint="eastAsia"/>
        </w:rPr>
      </w:pPr>
    </w:p>
    <w:p>
      <w:pPr>
        <w:pStyle w:val="3"/>
        <w:numPr>
          <w:ilvl w:val="0"/>
          <w:numId w:val="2"/>
        </w:numPr>
      </w:pPr>
      <w:r>
        <w:rPr>
          <w:rFonts w:hint="eastAsia"/>
        </w:rPr>
        <w:t>启用</w:t>
      </w:r>
    </w:p>
    <w:p>
      <w:r>
        <w:rPr>
          <w:rFonts w:hint="eastAsia"/>
        </w:rPr>
        <w:t>在启用的界面设定对账“启动日期”，并需要通过〖取余额〗按钮取到启动日期的总账对应“财务核算账簿+科目+辅助核算”期初余额。</w:t>
      </w:r>
    </w:p>
    <w:p>
      <w:r>
        <w:drawing>
          <wp:inline distT="0" distB="0" distL="0" distR="0">
            <wp:extent cx="5274310" cy="2558415"/>
            <wp:effectExtent l="0" t="0" r="1397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74310" cy="2559017"/>
                    </a:xfrm>
                    <a:prstGeom prst="rect">
                      <a:avLst/>
                    </a:prstGeom>
                  </pic:spPr>
                </pic:pic>
              </a:graphicData>
            </a:graphic>
          </wp:inline>
        </w:drawing>
      </w:r>
    </w:p>
    <w:p>
      <w:r>
        <w:drawing>
          <wp:inline distT="0" distB="0" distL="0" distR="0">
            <wp:extent cx="5274310" cy="3616960"/>
            <wp:effectExtent l="0" t="0" r="13970" b="1016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a:stretch>
                      <a:fillRect/>
                    </a:stretch>
                  </pic:blipFill>
                  <pic:spPr>
                    <a:xfrm>
                      <a:off x="0" y="0"/>
                      <a:ext cx="5274310" cy="3617211"/>
                    </a:xfrm>
                    <a:prstGeom prst="rect">
                      <a:avLst/>
                    </a:prstGeom>
                  </pic:spPr>
                </pic:pic>
              </a:graphicData>
            </a:graphic>
          </wp:inline>
        </w:drawing>
      </w:r>
    </w:p>
    <w:p>
      <w:r>
        <w:drawing>
          <wp:inline distT="0" distB="0" distL="0" distR="0">
            <wp:extent cx="5274310" cy="1478280"/>
            <wp:effectExtent l="0" t="0" r="1397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8"/>
                    <a:stretch>
                      <a:fillRect/>
                    </a:stretch>
                  </pic:blipFill>
                  <pic:spPr>
                    <a:xfrm>
                      <a:off x="0" y="0"/>
                      <a:ext cx="5274310" cy="1478516"/>
                    </a:xfrm>
                    <a:prstGeom prst="rect">
                      <a:avLst/>
                    </a:prstGeom>
                  </pic:spPr>
                </pic:pic>
              </a:graphicData>
            </a:graphic>
          </wp:inline>
        </w:drawing>
      </w:r>
    </w:p>
    <w:p>
      <w:pPr>
        <w:rPr>
          <w:b/>
          <w:color w:val="FF0000"/>
        </w:rPr>
      </w:pPr>
      <w:r>
        <w:rPr>
          <w:rFonts w:hint="eastAsia"/>
          <w:b/>
          <w:color w:val="FF0000"/>
        </w:rPr>
        <w:t>注意：如果对账单期初余额与实际银行余额账户余额不一致，手工修改银行对账单上真正的期初余额。</w:t>
      </w:r>
    </w:p>
    <w:p>
      <w:r>
        <w:drawing>
          <wp:inline distT="0" distB="0" distL="0" distR="0">
            <wp:extent cx="5274310" cy="3616960"/>
            <wp:effectExtent l="0" t="0" r="13970" b="1016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5274310" cy="3617211"/>
                    </a:xfrm>
                    <a:prstGeom prst="rect">
                      <a:avLst/>
                    </a:prstGeom>
                  </pic:spPr>
                </pic:pic>
              </a:graphicData>
            </a:graphic>
          </wp:inline>
        </w:drawing>
      </w:r>
    </w:p>
    <w:p>
      <w:pPr>
        <w:pStyle w:val="7"/>
      </w:pPr>
    </w:p>
    <w:p>
      <w:pPr>
        <w:pStyle w:val="3"/>
        <w:numPr>
          <w:ilvl w:val="0"/>
          <w:numId w:val="2"/>
        </w:numPr>
      </w:pPr>
      <w:r>
        <w:rPr>
          <w:rFonts w:hint="eastAsia"/>
        </w:rPr>
        <w:t>期初未达录入</w:t>
      </w:r>
    </w:p>
    <w:p>
      <w:pPr>
        <w:pStyle w:val="7"/>
      </w:pPr>
      <w:r>
        <w:rPr>
          <w:rFonts w:hint="eastAsia"/>
        </w:rPr>
        <w:t>录入单位方和银行方的期初未达，其中：单位方的数据将在调节表上的银行对账单上加借减贷运算，银行方的数据将在调节表上的单位日记账上加借减贷运算。</w:t>
      </w:r>
    </w:p>
    <w:p/>
    <w:p>
      <w:r>
        <w:drawing>
          <wp:inline distT="0" distB="0" distL="0" distR="0">
            <wp:extent cx="5274310" cy="1019810"/>
            <wp:effectExtent l="0" t="0" r="1397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5274310" cy="1020066"/>
                    </a:xfrm>
                    <a:prstGeom prst="rect">
                      <a:avLst/>
                    </a:prstGeom>
                  </pic:spPr>
                </pic:pic>
              </a:graphicData>
            </a:graphic>
          </wp:inline>
        </w:drawing>
      </w:r>
    </w:p>
    <w:p>
      <w:r>
        <w:drawing>
          <wp:inline distT="0" distB="0" distL="0" distR="0">
            <wp:extent cx="5274310" cy="1424940"/>
            <wp:effectExtent l="0" t="0" r="1397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5274310" cy="1425407"/>
                    </a:xfrm>
                    <a:prstGeom prst="rect">
                      <a:avLst/>
                    </a:prstGeom>
                  </pic:spPr>
                </pic:pic>
              </a:graphicData>
            </a:graphic>
          </wp:inline>
        </w:drawing>
      </w:r>
    </w:p>
    <w:p>
      <w:r>
        <w:drawing>
          <wp:inline distT="0" distB="0" distL="0" distR="0">
            <wp:extent cx="5274310" cy="1734820"/>
            <wp:effectExtent l="0" t="0" r="13970" b="254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a:stretch>
                      <a:fillRect/>
                    </a:stretch>
                  </pic:blipFill>
                  <pic:spPr>
                    <a:xfrm>
                      <a:off x="0" y="0"/>
                      <a:ext cx="5274310" cy="1734906"/>
                    </a:xfrm>
                    <a:prstGeom prst="rect">
                      <a:avLst/>
                    </a:prstGeom>
                  </pic:spPr>
                </pic:pic>
              </a:graphicData>
            </a:graphic>
          </wp:inline>
        </w:drawing>
      </w:r>
    </w:p>
    <w:p>
      <w:pPr>
        <w:pStyle w:val="3"/>
        <w:numPr>
          <w:ilvl w:val="0"/>
          <w:numId w:val="2"/>
        </w:numPr>
      </w:pPr>
      <w:r>
        <w:rPr>
          <w:rFonts w:hint="eastAsia"/>
        </w:rPr>
        <w:t>期初余额调节表</w:t>
      </w:r>
    </w:p>
    <w:p>
      <w:pPr>
        <w:pStyle w:val="7"/>
        <w:jc w:val="left"/>
      </w:pPr>
      <w:r>
        <w:rPr>
          <w:rFonts w:hint="eastAsia"/>
        </w:rPr>
        <w:t>维护完期初未达记录后，自动生成期初余额调节表，可点【调节表】查看，若相符则可以开始银行对账业务。</w:t>
      </w:r>
      <w:r>
        <w:drawing>
          <wp:inline distT="0" distB="0" distL="0" distR="0">
            <wp:extent cx="5274310" cy="991870"/>
            <wp:effectExtent l="0" t="0" r="13970" b="1397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3"/>
                    <a:stretch>
                      <a:fillRect/>
                    </a:stretch>
                  </pic:blipFill>
                  <pic:spPr>
                    <a:xfrm>
                      <a:off x="0" y="0"/>
                      <a:ext cx="5274310" cy="991985"/>
                    </a:xfrm>
                    <a:prstGeom prst="rect">
                      <a:avLst/>
                    </a:prstGeom>
                  </pic:spPr>
                </pic:pic>
              </a:graphicData>
            </a:graphic>
          </wp:inline>
        </w:drawing>
      </w:r>
    </w:p>
    <w:p>
      <w:r>
        <w:drawing>
          <wp:inline distT="0" distB="0" distL="0" distR="0">
            <wp:extent cx="5274310" cy="1247140"/>
            <wp:effectExtent l="0" t="0" r="1397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4"/>
                    <a:stretch>
                      <a:fillRect/>
                    </a:stretch>
                  </pic:blipFill>
                  <pic:spPr>
                    <a:xfrm>
                      <a:off x="0" y="0"/>
                      <a:ext cx="5274310" cy="1247765"/>
                    </a:xfrm>
                    <a:prstGeom prst="rect">
                      <a:avLst/>
                    </a:prstGeom>
                  </pic:spPr>
                </pic:pic>
              </a:graphicData>
            </a:graphic>
          </wp:inline>
        </w:drawing>
      </w:r>
    </w:p>
    <w:p/>
    <w:p>
      <w:pPr>
        <w:pStyle w:val="2"/>
        <w:numPr>
          <w:ilvl w:val="0"/>
          <w:numId w:val="1"/>
        </w:numPr>
      </w:pPr>
      <w:r>
        <w:rPr>
          <w:rFonts w:hint="eastAsia"/>
        </w:rPr>
        <w:t>银行对账单</w:t>
      </w:r>
    </w:p>
    <w:p>
      <w:r>
        <w:rPr>
          <w:rFonts w:hint="eastAsia"/>
        </w:rPr>
        <w:t>【资金管理/现金管理/银行对账/银行对账单】</w:t>
      </w:r>
    </w:p>
    <w:p>
      <w:r>
        <w:rPr>
          <w:rFonts w:hint="eastAsia"/>
        </w:rPr>
        <w:t>银行对账单，可收工录入，也可通过【文件导入】将银行提供的符合NC标准的文本格式的对账单直接导入到NC系统中。</w:t>
      </w:r>
    </w:p>
    <w:p>
      <w:r>
        <w:rPr>
          <w:rFonts w:hint="eastAsia"/>
        </w:rPr>
        <w:t>先查询需要维护的组织+账户：</w:t>
      </w:r>
    </w:p>
    <w:p>
      <w:r>
        <w:drawing>
          <wp:inline distT="0" distB="0" distL="0" distR="0">
            <wp:extent cx="5274310" cy="3169285"/>
            <wp:effectExtent l="0" t="0" r="1397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5"/>
                    <a:stretch>
                      <a:fillRect/>
                    </a:stretch>
                  </pic:blipFill>
                  <pic:spPr>
                    <a:xfrm>
                      <a:off x="0" y="0"/>
                      <a:ext cx="5274310" cy="3169470"/>
                    </a:xfrm>
                    <a:prstGeom prst="rect">
                      <a:avLst/>
                    </a:prstGeom>
                  </pic:spPr>
                </pic:pic>
              </a:graphicData>
            </a:graphic>
          </wp:inline>
        </w:drawing>
      </w:r>
    </w:p>
    <w:p>
      <w:r>
        <w:rPr>
          <w:rFonts w:hint="eastAsia"/>
        </w:rPr>
        <w:t>点【新增】可手工添加银行对账单记录</w:t>
      </w:r>
    </w:p>
    <w:p>
      <w:r>
        <w:drawing>
          <wp:inline distT="0" distB="0" distL="0" distR="0">
            <wp:extent cx="5274310" cy="1943100"/>
            <wp:effectExtent l="0" t="0" r="13970" b="7620"/>
            <wp:docPr id="39943" name="图片 3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3" name="图片 39943"/>
                    <pic:cNvPicPr>
                      <a:picLocks noChangeAspect="1"/>
                    </pic:cNvPicPr>
                  </pic:nvPicPr>
                  <pic:blipFill>
                    <a:blip r:embed="rId16"/>
                    <a:stretch>
                      <a:fillRect/>
                    </a:stretch>
                  </pic:blipFill>
                  <pic:spPr>
                    <a:xfrm>
                      <a:off x="0" y="0"/>
                      <a:ext cx="5274310" cy="1943681"/>
                    </a:xfrm>
                    <a:prstGeom prst="rect">
                      <a:avLst/>
                    </a:prstGeom>
                  </pic:spPr>
                </pic:pic>
              </a:graphicData>
            </a:graphic>
          </wp:inline>
        </w:drawing>
      </w:r>
    </w:p>
    <w:p>
      <w:r>
        <w:rPr>
          <w:rFonts w:hint="eastAsia"/>
        </w:rPr>
        <w:t>点【文件导入】，可按系统提供的Excel银行对账单模板维护对账记录后，将银行对账单直接导入到NC系统中。</w:t>
      </w:r>
    </w:p>
    <w:p>
      <w:r>
        <w:drawing>
          <wp:inline distT="0" distB="0" distL="0" distR="0">
            <wp:extent cx="5274310" cy="2085340"/>
            <wp:effectExtent l="0" t="0" r="1397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7"/>
                    <a:stretch>
                      <a:fillRect/>
                    </a:stretch>
                  </pic:blipFill>
                  <pic:spPr>
                    <a:xfrm>
                      <a:off x="0" y="0"/>
                      <a:ext cx="5274310" cy="2085916"/>
                    </a:xfrm>
                    <a:prstGeom prst="rect">
                      <a:avLst/>
                    </a:prstGeom>
                  </pic:spPr>
                </pic:pic>
              </a:graphicData>
            </a:graphic>
          </wp:inline>
        </w:drawing>
      </w:r>
    </w:p>
    <w:p>
      <w:r>
        <w:rPr>
          <w:rFonts w:hint="eastAsia"/>
        </w:rPr>
        <w:t>系统提供的Excel对账单格式如下，各字段格式要按模板要求一致，</w:t>
      </w:r>
    </w:p>
    <w:p>
      <w:r>
        <w:drawing>
          <wp:inline distT="0" distB="0" distL="0" distR="0">
            <wp:extent cx="5274310" cy="3118485"/>
            <wp:effectExtent l="0" t="0" r="13970"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8"/>
                    <a:stretch>
                      <a:fillRect/>
                    </a:stretch>
                  </pic:blipFill>
                  <pic:spPr>
                    <a:xfrm>
                      <a:off x="0" y="0"/>
                      <a:ext cx="5274310" cy="3118802"/>
                    </a:xfrm>
                    <a:prstGeom prst="rect">
                      <a:avLst/>
                    </a:prstGeom>
                  </pic:spPr>
                </pic:pic>
              </a:graphicData>
            </a:graphic>
          </wp:inline>
        </w:drawing>
      </w:r>
    </w:p>
    <w:p>
      <w:pPr>
        <w:rPr>
          <w:color w:val="FF0000"/>
        </w:rPr>
      </w:pPr>
      <w:r>
        <w:rPr>
          <w:rFonts w:hint="eastAsia"/>
          <w:color w:val="FF0000"/>
        </w:rPr>
        <w:t>注：W列有银行类别信息，维护数据时切勿删行。</w:t>
      </w:r>
    </w:p>
    <w:p>
      <w:r>
        <w:drawing>
          <wp:inline distT="0" distB="0" distL="0" distR="0">
            <wp:extent cx="5274310" cy="2771775"/>
            <wp:effectExtent l="0" t="0" r="13970" b="190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9"/>
                    <a:stretch>
                      <a:fillRect/>
                    </a:stretch>
                  </pic:blipFill>
                  <pic:spPr>
                    <a:xfrm>
                      <a:off x="0" y="0"/>
                      <a:ext cx="5274310" cy="2772065"/>
                    </a:xfrm>
                    <a:prstGeom prst="rect">
                      <a:avLst/>
                    </a:prstGeom>
                  </pic:spPr>
                </pic:pic>
              </a:graphicData>
            </a:graphic>
          </wp:inline>
        </w:drawing>
      </w:r>
    </w:p>
    <w:p>
      <w:pPr>
        <w:pStyle w:val="2"/>
        <w:numPr>
          <w:ilvl w:val="0"/>
          <w:numId w:val="1"/>
        </w:numPr>
      </w:pPr>
      <w:r>
        <w:rPr>
          <w:rFonts w:hint="eastAsia"/>
        </w:rPr>
        <w:t>银行对账</w:t>
      </w:r>
    </w:p>
    <w:p>
      <w:r>
        <w:rPr>
          <w:rFonts w:hint="eastAsia"/>
        </w:rPr>
        <w:t>【资金管理/现金管理/银行对账/银行对账】</w:t>
      </w:r>
    </w:p>
    <w:p>
      <w:pPr>
        <w:rPr>
          <w:b/>
          <w:sz w:val="32"/>
          <w:szCs w:val="32"/>
        </w:rPr>
      </w:pPr>
      <w:r>
        <w:rPr>
          <w:rFonts w:hint="eastAsia"/>
          <w:b/>
          <w:color w:val="FF0000"/>
          <w:sz w:val="32"/>
          <w:szCs w:val="32"/>
        </w:rPr>
        <w:t>特别注意：</w:t>
      </w:r>
      <w:r>
        <w:rPr>
          <w:rFonts w:hint="eastAsia"/>
          <w:b/>
          <w:sz w:val="32"/>
          <w:szCs w:val="32"/>
        </w:rPr>
        <w:t>在进行银行对账前，请务必将业务日期切换至需对账的月份。如需进行2014年4月份的银行对账，则业务日期切换为2014年4月30日。</w:t>
      </w:r>
    </w:p>
    <w:p>
      <w:r>
        <w:drawing>
          <wp:inline distT="0" distB="0" distL="0" distR="0">
            <wp:extent cx="5210175" cy="2867025"/>
            <wp:effectExtent l="0" t="0" r="1905" b="133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0"/>
                    <a:stretch>
                      <a:fillRect/>
                    </a:stretch>
                  </pic:blipFill>
                  <pic:spPr>
                    <a:xfrm>
                      <a:off x="0" y="0"/>
                      <a:ext cx="5210175" cy="2867025"/>
                    </a:xfrm>
                    <a:prstGeom prst="rect">
                      <a:avLst/>
                    </a:prstGeom>
                  </pic:spPr>
                </pic:pic>
              </a:graphicData>
            </a:graphic>
          </wp:inline>
        </w:drawing>
      </w:r>
    </w:p>
    <w:p>
      <w:pPr>
        <w:pStyle w:val="7"/>
      </w:pPr>
      <w:r>
        <w:rPr>
          <w:rFonts w:hint="eastAsia"/>
        </w:rPr>
        <w:t>在日常处理了银行对账单后，就可以执行银行对账了； 本功能节点通过自动对账与手工对账相结合的方式，对本单位的银行日记账与银行对账单进行核对。</w:t>
      </w:r>
    </w:p>
    <w:p>
      <w:pPr>
        <w:pStyle w:val="7"/>
      </w:pPr>
      <w:r>
        <w:rPr>
          <w:rFonts w:hint="eastAsia"/>
        </w:rPr>
        <w:t xml:space="preserve">a) </w:t>
      </w:r>
      <w:r>
        <w:rPr>
          <w:rFonts w:hint="eastAsia"/>
          <w:b/>
        </w:rPr>
        <w:t>自动对账时</w:t>
      </w:r>
      <w:r>
        <w:rPr>
          <w:rFonts w:hint="eastAsia"/>
        </w:rPr>
        <w:t>，可按结算方式、结算号一致的进行勾对，再按金额进行逐笔勾对。</w:t>
      </w:r>
    </w:p>
    <w:p>
      <w:pPr>
        <w:pStyle w:val="7"/>
      </w:pPr>
      <w:r>
        <w:rPr>
          <w:rFonts w:hint="eastAsia"/>
        </w:rPr>
        <w:t xml:space="preserve">b) </w:t>
      </w:r>
      <w:r>
        <w:rPr>
          <w:rFonts w:hint="eastAsia"/>
          <w:b/>
        </w:rPr>
        <w:t>手工对账</w:t>
      </w:r>
      <w:r>
        <w:rPr>
          <w:rFonts w:hint="eastAsia"/>
        </w:rPr>
        <w:t>是对自动对账的补充，当结算方式、结算号信息不完整时，系统对于方向、金额相同的业务无法自动识别，因此，将自动对先发生的业务进行核对，这样就可能造成与实际情况不符，这样，用户可通过手工对账方式进行调整。</w:t>
      </w:r>
    </w:p>
    <w:p>
      <w:pPr>
        <w:pStyle w:val="7"/>
      </w:pPr>
    </w:p>
    <w:p>
      <w:r>
        <w:rPr>
          <w:rFonts w:hint="eastAsia"/>
        </w:rPr>
        <w:t>查询具体的银行对账账户，如下图所示，注意红色框内条件选择：</w:t>
      </w:r>
    </w:p>
    <w:p>
      <w:r>
        <w:drawing>
          <wp:inline distT="0" distB="0" distL="0" distR="0">
            <wp:extent cx="5274310" cy="2637155"/>
            <wp:effectExtent l="0" t="0" r="13970" b="14605"/>
            <wp:docPr id="39937" name="图片 3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37" name="图片 39937"/>
                    <pic:cNvPicPr>
                      <a:picLocks noChangeAspect="1"/>
                    </pic:cNvPicPr>
                  </pic:nvPicPr>
                  <pic:blipFill>
                    <a:blip r:embed="rId21"/>
                    <a:stretch>
                      <a:fillRect/>
                    </a:stretch>
                  </pic:blipFill>
                  <pic:spPr>
                    <a:xfrm>
                      <a:off x="0" y="0"/>
                      <a:ext cx="5274310" cy="2637155"/>
                    </a:xfrm>
                    <a:prstGeom prst="rect">
                      <a:avLst/>
                    </a:prstGeom>
                  </pic:spPr>
                </pic:pic>
              </a:graphicData>
            </a:graphic>
          </wp:inline>
        </w:drawing>
      </w:r>
    </w:p>
    <w:p/>
    <w:p>
      <w:r>
        <w:rPr>
          <w:rFonts w:hint="eastAsia"/>
        </w:rPr>
        <w:t>查询出来的数据，如无异常即可以开始对账，可【手动】或【自动】对账，自动对账时注意条件的设置。</w:t>
      </w:r>
    </w:p>
    <w:p>
      <w:r>
        <w:drawing>
          <wp:inline distT="0" distB="0" distL="0" distR="0">
            <wp:extent cx="5274310" cy="2284730"/>
            <wp:effectExtent l="0" t="0" r="13970" b="1270"/>
            <wp:docPr id="39944" name="图片 3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4" name="图片 39944"/>
                    <pic:cNvPicPr>
                      <a:picLocks noChangeAspect="1"/>
                    </pic:cNvPicPr>
                  </pic:nvPicPr>
                  <pic:blipFill>
                    <a:blip r:embed="rId22"/>
                    <a:stretch>
                      <a:fillRect/>
                    </a:stretch>
                  </pic:blipFill>
                  <pic:spPr>
                    <a:xfrm>
                      <a:off x="0" y="0"/>
                      <a:ext cx="5274310" cy="2284924"/>
                    </a:xfrm>
                    <a:prstGeom prst="rect">
                      <a:avLst/>
                    </a:prstGeom>
                  </pic:spPr>
                </pic:pic>
              </a:graphicData>
            </a:graphic>
          </wp:inline>
        </w:drawing>
      </w:r>
    </w:p>
    <w:p>
      <w:r>
        <w:rPr>
          <w:rFonts w:hint="eastAsia"/>
        </w:rPr>
        <w:t>注：以下对账条件，多选是并列要求的意思。如下图所示：自动对账的条件为金额相同且日期相差在12天内且要求标识码相同。</w:t>
      </w:r>
    </w:p>
    <w:p>
      <w:r>
        <w:drawing>
          <wp:inline distT="0" distB="0" distL="0" distR="0">
            <wp:extent cx="3648075" cy="2790825"/>
            <wp:effectExtent l="0" t="0" r="9525" b="13335"/>
            <wp:docPr id="39947" name="图片 3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7" name="图片 39947"/>
                    <pic:cNvPicPr>
                      <a:picLocks noChangeAspect="1"/>
                    </pic:cNvPicPr>
                  </pic:nvPicPr>
                  <pic:blipFill>
                    <a:blip r:embed="rId23"/>
                    <a:stretch>
                      <a:fillRect/>
                    </a:stretch>
                  </pic:blipFill>
                  <pic:spPr>
                    <a:xfrm>
                      <a:off x="0" y="0"/>
                      <a:ext cx="3648075" cy="2790825"/>
                    </a:xfrm>
                    <a:prstGeom prst="rect">
                      <a:avLst/>
                    </a:prstGeom>
                  </pic:spPr>
                </pic:pic>
              </a:graphicData>
            </a:graphic>
          </wp:inline>
        </w:drawing>
      </w:r>
    </w:p>
    <w:p>
      <w:r>
        <w:rPr>
          <w:rFonts w:hint="eastAsia"/>
        </w:rPr>
        <w:t>自动勾对后结果：</w:t>
      </w:r>
    </w:p>
    <w:p>
      <w:r>
        <w:drawing>
          <wp:inline distT="0" distB="0" distL="0" distR="0">
            <wp:extent cx="5274310" cy="2036445"/>
            <wp:effectExtent l="0" t="0" r="139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5274310" cy="2036470"/>
                    </a:xfrm>
                    <a:prstGeom prst="rect">
                      <a:avLst/>
                    </a:prstGeom>
                  </pic:spPr>
                </pic:pic>
              </a:graphicData>
            </a:graphic>
          </wp:inline>
        </w:drawing>
      </w:r>
    </w:p>
    <w:p>
      <w:pPr>
        <w:pStyle w:val="2"/>
        <w:numPr>
          <w:ilvl w:val="0"/>
          <w:numId w:val="1"/>
        </w:numPr>
      </w:pPr>
      <w:r>
        <w:rPr>
          <w:rFonts w:hint="eastAsia"/>
        </w:rPr>
        <w:t>余额调节表</w:t>
      </w:r>
    </w:p>
    <w:p>
      <w:r>
        <w:rPr>
          <w:rFonts w:hint="eastAsia"/>
        </w:rPr>
        <w:t>【资金管理/现金管理/银行对账/余额调节表】</w:t>
      </w:r>
    </w:p>
    <w:p>
      <w:pPr>
        <w:pStyle w:val="7"/>
      </w:pPr>
      <w:r>
        <w:rPr>
          <w:rFonts w:hint="eastAsia"/>
        </w:rPr>
        <w:t>在进行自动对账与手工调整后，可以在本节点查看余额调节表。余额调节表根据银行对账单、银行日记账的账面余额与相对应的单位已收支银行未收支、银行已收支单位未收支的数据计算出实际的存款余额，它能反映目前各账户的实际状况</w:t>
      </w:r>
      <w:bookmarkStart w:id="0" w:name="_GoBack"/>
      <w:r>
        <w:rPr>
          <w:rFonts w:hint="eastAsia"/>
        </w:rPr>
        <w:t>。</w:t>
      </w:r>
      <w:bookmarkEnd w:id="0"/>
    </w:p>
    <w:p>
      <w:r>
        <w:drawing>
          <wp:inline distT="0" distB="0" distL="0" distR="0">
            <wp:extent cx="5274310" cy="3036570"/>
            <wp:effectExtent l="0" t="0" r="13970" b="11430"/>
            <wp:docPr id="39948" name="图片 3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8" name="图片 39948"/>
                    <pic:cNvPicPr>
                      <a:picLocks noChangeAspect="1"/>
                    </pic:cNvPicPr>
                  </pic:nvPicPr>
                  <pic:blipFill>
                    <a:blip r:embed="rId25"/>
                    <a:stretch>
                      <a:fillRect/>
                    </a:stretch>
                  </pic:blipFill>
                  <pic:spPr>
                    <a:xfrm>
                      <a:off x="0" y="0"/>
                      <a:ext cx="5274310" cy="3037001"/>
                    </a:xfrm>
                    <a:prstGeom prst="rect">
                      <a:avLst/>
                    </a:prstGeom>
                  </pic:spPr>
                </pic:pic>
              </a:graphicData>
            </a:graphic>
          </wp:inline>
        </w:drawing>
      </w:r>
    </w:p>
    <w:p/>
    <w:p>
      <w:pPr>
        <w:pStyle w:val="2"/>
        <w:numPr>
          <w:ilvl w:val="0"/>
          <w:numId w:val="1"/>
        </w:numPr>
      </w:pPr>
      <w:r>
        <w:rPr>
          <w:rFonts w:hint="eastAsia"/>
          <w:lang w:val="en-US" w:eastAsia="zh-CN"/>
        </w:rPr>
        <w:t>银行对账反结转</w:t>
      </w:r>
    </w:p>
    <w:p>
      <w:pPr>
        <w:numPr>
          <w:numId w:val="0"/>
        </w:numPr>
        <w:rPr>
          <w:rFonts w:hint="eastAsia"/>
          <w:lang w:val="en-US" w:eastAsia="zh-CN"/>
        </w:rPr>
      </w:pPr>
      <w:r>
        <w:rPr>
          <w:rFonts w:hint="eastAsia"/>
          <w:lang w:val="en-US" w:eastAsia="zh-CN"/>
        </w:rPr>
        <w:t>1.取消余额调节表审批</w:t>
      </w:r>
    </w:p>
    <w:p>
      <w:pPr>
        <w:widowControl w:val="0"/>
        <w:numPr>
          <w:numId w:val="0"/>
        </w:numPr>
        <w:jc w:val="both"/>
        <w:rPr>
          <w:rFonts w:hint="eastAsia"/>
          <w:lang w:val="en-US" w:eastAsia="zh-CN"/>
        </w:rPr>
      </w:pPr>
    </w:p>
    <w:p>
      <w:pPr>
        <w:widowControl w:val="0"/>
        <w:numPr>
          <w:numId w:val="0"/>
        </w:numPr>
        <w:jc w:val="both"/>
        <w:rPr>
          <w:rFonts w:hint="default"/>
          <w:lang w:val="en-US" w:eastAsia="zh-CN"/>
        </w:rPr>
      </w:pPr>
      <w:r>
        <w:rPr>
          <w:rFonts w:hint="eastAsia"/>
          <w:lang w:val="en-US" w:eastAsia="zh-CN"/>
        </w:rPr>
        <w:t>2.取消已勾对的银行对账记录</w:t>
      </w:r>
    </w:p>
    <w:p>
      <w:pPr>
        <w:widowControl w:val="0"/>
        <w:numPr>
          <w:numId w:val="0"/>
        </w:numPr>
        <w:jc w:val="both"/>
        <w:rPr>
          <w:rFonts w:hint="default"/>
          <w:lang w:val="en-US" w:eastAsia="zh-CN"/>
        </w:rPr>
      </w:pPr>
    </w:p>
    <w:p>
      <w:pPr>
        <w:widowControl w:val="0"/>
        <w:numPr>
          <w:numId w:val="0"/>
        </w:numPr>
        <w:jc w:val="both"/>
        <w:rPr>
          <w:rFonts w:hint="default"/>
          <w:lang w:val="en-US" w:eastAsia="zh-CN"/>
        </w:rPr>
      </w:pPr>
      <w:r>
        <w:rPr>
          <w:rFonts w:hint="eastAsia"/>
          <w:lang w:val="en-US" w:eastAsia="zh-CN"/>
        </w:rPr>
        <w:t>3.对账账户初始化，选择账户，取消结转</w:t>
      </w:r>
    </w:p>
    <w:p>
      <w:pPr>
        <w:widowControl w:val="0"/>
        <w:numPr>
          <w:numId w:val="0"/>
        </w:numPr>
        <w:jc w:val="both"/>
        <w:rPr>
          <w:rFonts w:hint="default"/>
          <w:lang w:val="en-US" w:eastAsia="zh-CN"/>
        </w:rPr>
      </w:pPr>
    </w:p>
    <w:sectPr>
      <w:pgSz w:w="11850" w:h="16783"/>
      <w:pgMar w:top="1440" w:right="1800" w:bottom="1440" w:left="180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DD7"/>
    <w:multiLevelType w:val="multilevel"/>
    <w:tmpl w:val="01705DD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F72AE1"/>
    <w:multiLevelType w:val="multilevel"/>
    <w:tmpl w:val="59F72A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640EA"/>
    <w:rsid w:val="252611FE"/>
    <w:rsid w:val="2BCC5044"/>
    <w:rsid w:val="3447059F"/>
    <w:rsid w:val="357B7AF3"/>
    <w:rsid w:val="5C2640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2020-12-21T08:49:00Z</dcterms:created>
  <dc:creator>大学生</dc:creator>
  <cp:lastModifiedBy>asus</cp:lastModifiedBy>
  <dcterms:modified xsi:type="dcterms:W3CDTF">2021-04-15T08:02:31Z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