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rPr>
          <w:rStyle w:val="14"/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sz w:val="72"/>
        </w:rPr>
      </w:pPr>
      <w:r>
        <w:rPr>
          <w:rFonts w:asciiTheme="minorEastAsia" w:hAnsiTheme="minorEastAsia" w:eastAsiaTheme="minorEastAsia"/>
        </w:rPr>
        <w:pict>
          <v:rect id="_x0000_i1025" o:spt="1" style="height:0.75pt;width:0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329565</wp:posOffset>
            </wp:positionV>
            <wp:extent cx="5474970" cy="2919730"/>
            <wp:effectExtent l="0" t="0" r="11430" b="6350"/>
            <wp:wrapNone/>
            <wp:docPr id="61" name="图片 7184" descr="说明: 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184" descr="说明: 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2021</w:t>
      </w:r>
      <w:bookmarkStart w:id="35" w:name="_GoBack"/>
      <w:r>
        <w:rPr>
          <w:rFonts w:hint="eastAsia" w:asciiTheme="minorEastAsia" w:hAnsiTheme="minorEastAsia" w:eastAsiaTheme="minorEastAsia"/>
        </w:rPr>
        <w:t>富力地产少付款业务操作指引用户手册</w:t>
      </w:r>
      <w:bookmarkEnd w:id="35"/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bookmarkStart w:id="0" w:name="_Toc212081755"/>
      <w:bookmarkStart w:id="1" w:name="_Toc133164746"/>
      <w:bookmarkStart w:id="2" w:name="_Toc41477399"/>
      <w:bookmarkStart w:id="3" w:name="_Toc38342764"/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作者：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谭廷琛</w:t>
      </w:r>
    </w:p>
    <w:p>
      <w:pPr>
        <w:pStyle w:val="5"/>
        <w:tabs>
          <w:tab w:val="left" w:pos="4320"/>
        </w:tabs>
        <w:spacing w:after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创建日期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20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15</w:t>
      </w:r>
    </w:p>
    <w:p>
      <w:pPr>
        <w:pStyle w:val="5"/>
        <w:tabs>
          <w:tab w:val="left" w:pos="4320"/>
        </w:tabs>
        <w:spacing w:after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更新日期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2021-09-15</w:t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更新者：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文档编码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文档版本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asciiTheme="minorEastAsia" w:hAnsiTheme="minorEastAsia" w:eastAsiaTheme="minorEastAsia"/>
          <w:sz w:val="21"/>
          <w:szCs w:val="21"/>
        </w:rPr>
        <w:t>V</w:t>
      </w: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.0</w:t>
      </w:r>
    </w:p>
    <w:p>
      <w:pPr>
        <w:jc w:val="righ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br w:type="textWrapping" w:clear="all"/>
      </w: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pStyle w:val="16"/>
        <w:pBdr>
          <w:top w:val="single" w:color="auto" w:sz="30" w:space="20"/>
        </w:pBdr>
        <w:tabs>
          <w:tab w:val="right" w:pos="8551"/>
        </w:tabs>
        <w:spacing w:line="360" w:lineRule="auto"/>
        <w:rPr>
          <w:rFonts w:asciiTheme="minorEastAsia" w:hAnsiTheme="minorEastAsia" w:eastAsiaTheme="minorEastAsia"/>
        </w:rPr>
      </w:pPr>
      <w:bookmarkStart w:id="4" w:name="_Toc257924016"/>
      <w:bookmarkStart w:id="5" w:name="_Toc283560324"/>
      <w:bookmarkStart w:id="6" w:name="_Toc457223838"/>
      <w:bookmarkStart w:id="7" w:name="_Toc283560445"/>
      <w:bookmarkStart w:id="8" w:name="_Toc338255637"/>
      <w:bookmarkStart w:id="9" w:name="_Toc29993"/>
      <w:bookmarkStart w:id="10" w:name="_Toc28861"/>
      <w:bookmarkStart w:id="11" w:name="_Toc283330715"/>
      <w:bookmarkStart w:id="12" w:name="_Toc283560402"/>
      <w:bookmarkStart w:id="13" w:name="_Toc283330098"/>
      <w:bookmarkStart w:id="14" w:name="_Toc30249"/>
      <w:r>
        <w:rPr>
          <w:rFonts w:hint="eastAsia" w:asciiTheme="minorEastAsia" w:hAnsiTheme="minorEastAsia" w:eastAsiaTheme="minorEastAsia"/>
        </w:rPr>
        <w:t>文档控制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Theme="minorEastAsia" w:hAnsiTheme="minorEastAsia" w:eastAsiaTheme="minorEastAsia"/>
        </w:rPr>
        <w:tab/>
      </w:r>
    </w:p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b/>
          <w:bCs/>
        </w:rPr>
      </w:pPr>
      <w:bookmarkStart w:id="15" w:name="_Toc7317898"/>
      <w:bookmarkStart w:id="16" w:name="_Toc449934798"/>
      <w:bookmarkStart w:id="17" w:name="_Toc7318568"/>
      <w:bookmarkStart w:id="18" w:name="_Toc415912153"/>
      <w:r>
        <w:rPr>
          <w:rFonts w:hint="eastAsia" w:asciiTheme="minorEastAsia" w:hAnsiTheme="minorEastAsia" w:eastAsiaTheme="minorEastAsia"/>
          <w:b/>
          <w:bCs/>
        </w:rPr>
        <w:t>更改记录</w:t>
      </w:r>
      <w:bookmarkEnd w:id="15"/>
      <w:bookmarkEnd w:id="16"/>
      <w:bookmarkEnd w:id="17"/>
      <w:bookmarkEnd w:id="18"/>
    </w:p>
    <w:tbl>
      <w:tblPr>
        <w:tblStyle w:val="11"/>
        <w:tblW w:w="6788" w:type="dxa"/>
        <w:tblInd w:w="15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1400"/>
        <w:gridCol w:w="2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tcBorders>
              <w:bottom w:val="nil"/>
              <w:right w:val="nil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tcBorders>
              <w:bottom w:val="nil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作者</w:t>
            </w:r>
          </w:p>
        </w:tc>
        <w:tc>
          <w:tcPr>
            <w:tcW w:w="1400" w:type="dxa"/>
            <w:tcBorders>
              <w:bottom w:val="nil"/>
              <w:right w:val="single" w:color="auto" w:sz="2" w:space="0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版本</w:t>
            </w:r>
          </w:p>
        </w:tc>
        <w:tc>
          <w:tcPr>
            <w:tcW w:w="2500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更改记录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2500" w:type="dxa"/>
            <w:tcBorders>
              <w:top w:val="single" w:color="auto" w:sz="6" w:space="0"/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  <w:tcBorders>
              <w:top w:val="nil"/>
            </w:tcBorders>
          </w:tcPr>
          <w:p>
            <w:pPr>
              <w:pStyle w:val="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nil"/>
            </w:tcBorders>
          </w:tcPr>
          <w:p>
            <w:pPr>
              <w:pStyle w:val="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谭廷琛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初始版</w:t>
            </w:r>
          </w:p>
        </w:tc>
        <w:tc>
          <w:tcPr>
            <w:tcW w:w="2500" w:type="dxa"/>
            <w:tcBorders>
              <w:top w:val="nil"/>
            </w:tcBorders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keepNext/>
        <w:keepLines/>
        <w:spacing w:before="120" w:after="12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审阅</w:t>
      </w:r>
    </w:p>
    <w:tbl>
      <w:tblPr>
        <w:tblStyle w:val="11"/>
        <w:tblW w:w="6788" w:type="dxa"/>
        <w:tblInd w:w="15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3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39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  <w:r>
              <w:rPr>
                <w:rFonts w:asciiTheme="minorEastAsia" w:hAnsiTheme="minorEastAsia" w:eastAsiaTheme="minorEastAsia"/>
                <w:sz w:val="8"/>
              </w:rPr>
              <w:t>2011-1-23</w:t>
            </w:r>
          </w:p>
        </w:tc>
        <w:tc>
          <w:tcPr>
            <w:tcW w:w="1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39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keepNext/>
        <w:keepLines/>
        <w:spacing w:before="120" w:after="12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分发</w:t>
      </w:r>
    </w:p>
    <w:tbl>
      <w:tblPr>
        <w:tblStyle w:val="11"/>
        <w:tblW w:w="6788" w:type="dxa"/>
        <w:tblInd w:w="15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1400"/>
        <w:gridCol w:w="25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份数</w:t>
            </w:r>
          </w:p>
        </w:tc>
        <w:tc>
          <w:tcPr>
            <w:tcW w:w="14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2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4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2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bookmarkEnd w:id="1"/>
      <w:bookmarkEnd w:id="2"/>
      <w:bookmarkEnd w:id="3"/>
    </w:tbl>
    <w:p>
      <w:pPr>
        <w:rPr>
          <w:rFonts w:asciiTheme="minorEastAsia" w:hAnsiTheme="minorEastAsia" w:eastAsiaTheme="minorEastAsia"/>
          <w:b/>
          <w:bCs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720" w:right="720" w:bottom="720" w:left="720" w:header="851" w:footer="992" w:gutter="0"/>
          <w:pgNumType w:start="1"/>
          <w:cols w:space="425" w:num="1"/>
          <w:titlePg/>
          <w:docGrid w:type="lines" w:linePitch="326" w:charSpace="-4916"/>
        </w:sect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80597"/>
        <w15:color w:val="DBDBDB"/>
        <w:docPartObj>
          <w:docPartGallery w:val="Table of Contents"/>
          <w:docPartUnique/>
        </w:docPartObj>
      </w:sdt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19" w:name="_Toc283560325"/>
          <w:bookmarkStart w:id="20" w:name="_Toc283330716"/>
          <w:bookmarkStart w:id="21" w:name="_Toc283560403"/>
          <w:bookmarkStart w:id="22" w:name="_Toc283330099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_Toc30249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</w:rPr>
            <w:t>文档控制</w:t>
          </w:r>
          <w:r>
            <w:tab/>
          </w:r>
          <w:r>
            <w:fldChar w:fldCharType="begin"/>
          </w:r>
          <w:r>
            <w:instrText xml:space="preserve"> PAGEREF _Toc30249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pos="9746"/>
            </w:tabs>
          </w:pPr>
          <w:r>
            <w:fldChar w:fldCharType="begin"/>
          </w:r>
          <w:r>
            <w:instrText xml:space="preserve"> HYPERLINK \l _Toc30011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lang w:val="en-US" w:eastAsia="zh-CN"/>
            </w:rPr>
            <w:t>1.</w:t>
          </w:r>
          <w:r>
            <w:rPr>
              <w:rFonts w:ascii="微软雅黑" w:hAnsi="微软雅黑" w:eastAsia="微软雅黑"/>
            </w:rPr>
            <w:t>业务场景</w:t>
          </w:r>
          <w:r>
            <w:tab/>
          </w:r>
          <w:r>
            <w:fldChar w:fldCharType="begin"/>
          </w:r>
          <w:r>
            <w:instrText xml:space="preserve"> PAGEREF _Toc30011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pos="9746"/>
            </w:tabs>
          </w:pPr>
          <w:r>
            <w:fldChar w:fldCharType="begin"/>
          </w:r>
          <w:r>
            <w:instrText xml:space="preserve"> HYPERLINK \l _Toc9397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lang w:val="en-US" w:eastAsia="zh-CN"/>
            </w:rPr>
            <w:t>2.</w:t>
          </w:r>
          <w:r>
            <w:rPr>
              <w:rFonts w:ascii="微软雅黑" w:hAnsi="微软雅黑" w:eastAsia="微软雅黑"/>
            </w:rPr>
            <w:t>操作指引</w:t>
          </w:r>
          <w:r>
            <w:tab/>
          </w:r>
          <w:r>
            <w:fldChar w:fldCharType="begin"/>
          </w:r>
          <w:r>
            <w:instrText xml:space="preserve"> PAGEREF _Toc9397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_Toc18533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2.1按正常采购入库流程自动生成一张应付单</w:t>
          </w:r>
          <w:r>
            <w:tab/>
          </w:r>
          <w:r>
            <w:fldChar w:fldCharType="begin"/>
          </w:r>
          <w:r>
            <w:instrText xml:space="preserve"> PAGEREF _Toc18533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_Toc24168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2.2自制一张业务流程为：冲暂估-差异额的应付单</w:t>
          </w:r>
          <w:r>
            <w:tab/>
          </w:r>
          <w:r>
            <w:fldChar w:fldCharType="begin"/>
          </w:r>
          <w:r>
            <w:instrText xml:space="preserve"> PAGEREF _Toc24168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_Toc4823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2.3手工核销两张应付单</w:t>
          </w:r>
          <w:r>
            <w:tab/>
          </w:r>
          <w:r>
            <w:fldChar w:fldCharType="begin"/>
          </w:r>
          <w:r>
            <w:instrText xml:space="preserve"> PAGEREF _Toc4823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_Toc25874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2.4核销后，参照采购流程传过来的应付单做付款单</w:t>
          </w:r>
          <w:r>
            <w:tab/>
          </w:r>
          <w:r>
            <w:fldChar w:fldCharType="begin"/>
          </w:r>
          <w:r>
            <w:instrText xml:space="preserve"> PAGEREF _Toc25874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asciiTheme="minorEastAsia" w:hAnsiTheme="minorEastAsia" w:eastAsiaTheme="minorEastAsia" w:cstheme="minorHAnsi"/>
          <w:sz w:val="20"/>
          <w:szCs w:val="20"/>
        </w:rPr>
      </w:pPr>
      <w:r>
        <w:rPr>
          <w:rFonts w:asciiTheme="minorEastAsia" w:hAnsiTheme="minorEastAsia" w:eastAsiaTheme="minorEastAsia" w:cstheme="minorHAnsi"/>
          <w:sz w:val="20"/>
          <w:szCs w:val="20"/>
        </w:rPr>
        <w:br w:type="page"/>
      </w:r>
    </w:p>
    <w:bookmarkEnd w:id="19"/>
    <w:bookmarkEnd w:id="20"/>
    <w:bookmarkEnd w:id="21"/>
    <w:bookmarkEnd w:id="22"/>
    <w:p>
      <w:pPr>
        <w:pStyle w:val="2"/>
        <w:numPr>
          <w:ilvl w:val="0"/>
          <w:numId w:val="0"/>
        </w:numPr>
        <w:ind w:leftChars="0"/>
        <w:rPr>
          <w:rFonts w:ascii="微软雅黑" w:hAnsi="微软雅黑" w:eastAsia="微软雅黑"/>
          <w:sz w:val="32"/>
        </w:rPr>
      </w:pPr>
      <w:bookmarkStart w:id="23" w:name="_Toc32117"/>
      <w:bookmarkStart w:id="24" w:name="_Toc17234223"/>
      <w:bookmarkStart w:id="25" w:name="_Toc28517"/>
      <w:bookmarkStart w:id="26" w:name="_Toc30011"/>
      <w:r>
        <w:rPr>
          <w:rFonts w:hint="eastAsia" w:ascii="微软雅黑" w:hAnsi="微软雅黑" w:eastAsia="微软雅黑"/>
          <w:sz w:val="32"/>
          <w:lang w:val="en-US" w:eastAsia="zh-CN"/>
        </w:rPr>
        <w:t>1.</w:t>
      </w:r>
      <w:r>
        <w:rPr>
          <w:rFonts w:ascii="微软雅黑" w:hAnsi="微软雅黑" w:eastAsia="微软雅黑"/>
          <w:sz w:val="32"/>
        </w:rPr>
        <w:t>业务场景</w:t>
      </w:r>
      <w:bookmarkEnd w:id="23"/>
      <w:bookmarkEnd w:id="24"/>
      <w:bookmarkEnd w:id="25"/>
      <w:bookmarkEnd w:id="26"/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</w:rPr>
        <w:t>税率调整；</w:t>
      </w:r>
    </w:p>
    <w:p>
      <w:pPr>
        <w:pStyle w:val="21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有少付材料款的情况</w:t>
      </w:r>
      <w:r>
        <w:rPr>
          <w:rFonts w:hint="eastAsia"/>
        </w:rPr>
        <w:t>；</w:t>
      </w:r>
    </w:p>
    <w:p>
      <w:pPr>
        <w:pStyle w:val="2"/>
        <w:numPr>
          <w:ilvl w:val="0"/>
          <w:numId w:val="0"/>
        </w:numPr>
        <w:ind w:leftChars="0"/>
        <w:rPr>
          <w:rFonts w:ascii="微软雅黑" w:hAnsi="微软雅黑" w:eastAsia="微软雅黑"/>
          <w:sz w:val="32"/>
        </w:rPr>
      </w:pPr>
      <w:bookmarkStart w:id="27" w:name="_Toc25004"/>
      <w:bookmarkStart w:id="28" w:name="_Toc17234224"/>
      <w:bookmarkStart w:id="29" w:name="_Toc23621"/>
      <w:bookmarkStart w:id="30" w:name="_Toc9397"/>
      <w:r>
        <w:rPr>
          <w:rFonts w:hint="eastAsia" w:ascii="微软雅黑" w:hAnsi="微软雅黑" w:eastAsia="微软雅黑"/>
          <w:sz w:val="32"/>
          <w:lang w:val="en-US" w:eastAsia="zh-CN"/>
        </w:rPr>
        <w:t>2.</w:t>
      </w:r>
      <w:r>
        <w:rPr>
          <w:rFonts w:ascii="微软雅黑" w:hAnsi="微软雅黑" w:eastAsia="微软雅黑"/>
          <w:sz w:val="32"/>
        </w:rPr>
        <w:t>操作指引</w:t>
      </w:r>
      <w:bookmarkEnd w:id="27"/>
      <w:bookmarkEnd w:id="28"/>
      <w:bookmarkEnd w:id="29"/>
      <w:bookmarkEnd w:id="30"/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bookmarkStart w:id="31" w:name="_Toc18533"/>
      <w:r>
        <w:rPr>
          <w:rFonts w:hint="eastAsia"/>
          <w:lang w:val="en-US" w:eastAsia="zh-CN"/>
        </w:rPr>
        <w:t>2.1按正常采购入库流程自动生成一张应付单</w:t>
      </w:r>
      <w:bookmarkEnd w:id="31"/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发票审批后在应付单管理查询出业务流程为“订单-发票（新）”的应付单，如下图所示：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187440" cy="2874645"/>
            <wp:effectExtent l="0" t="0" r="0" b="571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Chars="0"/>
        <w:rPr>
          <w:rFonts w:hint="eastAsia"/>
          <w:b/>
          <w:lang w:val="en-US" w:eastAsia="zh-CN"/>
        </w:rPr>
      </w:pPr>
      <w:bookmarkStart w:id="32" w:name="_Toc24168"/>
      <w:r>
        <w:rPr>
          <w:rFonts w:hint="eastAsia"/>
          <w:lang w:val="en-US" w:eastAsia="zh-CN"/>
        </w:rPr>
        <w:t>2.2自制一张业务流程为：</w:t>
      </w:r>
      <w:r>
        <w:rPr>
          <w:rFonts w:hint="eastAsia"/>
          <w:b/>
          <w:lang w:val="en-US" w:eastAsia="zh-CN"/>
        </w:rPr>
        <w:t>冲暂估-差异额的应付单</w:t>
      </w:r>
      <w:bookmarkEnd w:id="32"/>
    </w:p>
    <w:p>
      <w:pPr>
        <w:numPr>
          <w:ilvl w:val="0"/>
          <w:numId w:val="0"/>
        </w:numPr>
        <w:ind w:leftChars="0"/>
      </w:pPr>
      <w:r>
        <w:rPr>
          <w:rFonts w:hint="eastAsia"/>
          <w:b w:val="0"/>
          <w:bCs w:val="0"/>
          <w:highlight w:val="none"/>
          <w:lang w:val="en-US" w:eastAsia="zh-CN"/>
        </w:rPr>
        <w:t>自制金额为负数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（-8.72）、</w:t>
      </w:r>
      <w:r>
        <w:rPr>
          <w:rFonts w:hint="eastAsia"/>
          <w:b w:val="0"/>
          <w:bCs w:val="0"/>
          <w:highlight w:val="none"/>
          <w:lang w:val="en-US" w:eastAsia="zh-CN"/>
        </w:rPr>
        <w:t>业务流程为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冲暂估-差异额</w:t>
      </w:r>
      <w:r>
        <w:rPr>
          <w:rFonts w:hint="eastAsia"/>
          <w:b w:val="0"/>
          <w:bCs w:val="0"/>
          <w:highlight w:val="none"/>
          <w:lang w:val="en-US" w:eastAsia="zh-CN"/>
        </w:rPr>
        <w:t>的应付单，填写表头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供应商、</w:t>
      </w:r>
      <w:r>
        <w:rPr>
          <w:rFonts w:hint="eastAsia"/>
          <w:b w:val="0"/>
          <w:bCs w:val="0"/>
          <w:highlight w:val="none"/>
          <w:lang w:val="en-US" w:eastAsia="zh-CN"/>
        </w:rPr>
        <w:t>表体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部门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（与前面一致）</w:t>
      </w: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、款项类型、科目（天力借方）等字段信息，</w:t>
      </w:r>
      <w:r>
        <w:rPr>
          <w:rFonts w:hint="eastAsia"/>
          <w:b w:val="0"/>
          <w:bCs w:val="0"/>
          <w:highlight w:val="none"/>
          <w:lang w:val="en-US" w:eastAsia="zh-CN"/>
        </w:rPr>
        <w:t>如下图所示：</w:t>
      </w:r>
      <w:r>
        <w:drawing>
          <wp:inline distT="0" distB="0" distL="114300" distR="114300">
            <wp:extent cx="5266055" cy="1967865"/>
            <wp:effectExtent l="0" t="0" r="698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bookmarkStart w:id="33" w:name="_Toc4823"/>
      <w:r>
        <w:rPr>
          <w:rFonts w:hint="eastAsia"/>
          <w:lang w:val="en-US" w:eastAsia="zh-CN"/>
        </w:rPr>
        <w:t>2.3手工核销两张应付单</w:t>
      </w:r>
      <w:bookmarkEnd w:id="33"/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打开手工核销节点，查询出两张应付单，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363283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3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63525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修改金额为正数的应付单的本次结算金额与负数金额一致，如下图所示：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443480"/>
            <wp:effectExtent l="0" t="0" r="571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3)两张应付单金额修改一致后，点击“核销”，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41935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4）点击“核销”出现如下报错则说明查询单据时核销规则没有设置正确，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662555"/>
            <wp:effectExtent l="0" t="0" r="190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5）重新点击查询，回到查询界面调整应付单的核销方式，去掉同币种核销的勾选，如下图所示：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055" cy="2786380"/>
            <wp:effectExtent l="0" t="0" r="698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修改核销方式查询出应付单后，再次修改好本次结算的金额，点击“核销”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419350"/>
            <wp:effectExtent l="0" t="0" r="381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7）出现如下所示的核销记录表明已经核销成功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1600835"/>
            <wp:effectExtent l="0" t="0" r="8255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bookmarkStart w:id="34" w:name="_Toc25874"/>
      <w:r>
        <w:rPr>
          <w:rFonts w:hint="eastAsia"/>
          <w:lang w:val="en-US" w:eastAsia="zh-CN"/>
        </w:rPr>
        <w:t>2.4核销后，参照采购流程传过来的应付单做付款单</w:t>
      </w:r>
      <w:bookmarkEnd w:id="34"/>
    </w:p>
    <w:p>
      <w:pPr>
        <w:numPr>
          <w:ilvl w:val="0"/>
          <w:numId w:val="5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打开付款单管理（或者付款单录入）节点，点击“新增-应付单”后，如下图所示：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266950"/>
            <wp:effectExtent l="0" t="0" r="13970" b="38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2）根据条件查询出对应的应付单，注意：核销之后，应付单的原币余额由核销前的</w:t>
      </w:r>
      <w:r>
        <w:rPr>
          <w:rFonts w:hint="eastAsia"/>
          <w:b w:val="0"/>
          <w:bCs w:val="0"/>
          <w:color w:val="FF0000"/>
          <w:lang w:val="en-US" w:eastAsia="zh-CN"/>
        </w:rPr>
        <w:t>1808.74</w:t>
      </w:r>
      <w:r>
        <w:rPr>
          <w:rFonts w:hint="eastAsia"/>
          <w:b w:val="0"/>
          <w:bCs w:val="0"/>
          <w:lang w:val="en-US" w:eastAsia="zh-CN"/>
        </w:rPr>
        <w:t>变为核销后的</w:t>
      </w:r>
      <w:r>
        <w:rPr>
          <w:rFonts w:hint="eastAsia"/>
          <w:b w:val="0"/>
          <w:bCs w:val="0"/>
          <w:color w:val="FF0000"/>
          <w:lang w:val="en-US" w:eastAsia="zh-CN"/>
        </w:rPr>
        <w:t>1800，</w:t>
      </w:r>
      <w:r>
        <w:rPr>
          <w:rFonts w:hint="eastAsia"/>
          <w:b w:val="0"/>
          <w:bCs w:val="0"/>
          <w:color w:val="auto"/>
          <w:lang w:val="en-US" w:eastAsia="zh-CN"/>
        </w:rPr>
        <w:t>勾选该张应付单后，点击“确定”，准确填写完付款单信息保存。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2465705"/>
            <wp:effectExtent l="0" t="0" r="1270" b="317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002155"/>
            <wp:effectExtent l="0" t="0" r="6350" b="952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kern w:val="0"/>
        <w:szCs w:val="21"/>
      </w:rPr>
    </w:pPr>
    <w:r>
      <w:rPr>
        <w:rFonts w:hint="eastAsia"/>
        <w:kern w:val="0"/>
        <w:szCs w:val="21"/>
      </w:rPr>
      <w:t>内部资料 仅供富力集团 翰智软件使用</w:t>
    </w:r>
  </w:p>
  <w:p>
    <w:pPr>
      <w:pStyle w:val="7"/>
      <w:jc w:val="right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tabs>
        <w:tab w:val="left" w:pos="660"/>
        <w:tab w:val="left" w:pos="1950"/>
        <w:tab w:val="left" w:pos="6855"/>
        <w:tab w:val="left" w:pos="8985"/>
        <w:tab w:val="clear" w:pos="4153"/>
        <w:tab w:val="clear" w:pos="8306"/>
      </w:tabs>
      <w:wordWrap w:val="0"/>
      <w:ind w:left="180" w:right="57" w:rightChars="27" w:hanging="180" w:hangingChars="100"/>
      <w:jc w:val="left"/>
      <w:rPr>
        <w:b/>
      </w:rPr>
    </w:pPr>
    <w: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-126365</wp:posOffset>
              </wp:positionV>
              <wp:extent cx="3110230" cy="285115"/>
              <wp:effectExtent l="0" t="0" r="13970" b="4445"/>
              <wp:wrapSquare wrapText="bothSides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富力地产NC6少付款业务操作指引用户手册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6pt;margin-top:-9.95pt;height:22.45pt;width:244.9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K75EHZAAAACgEAAA8AAAAAAAAAAQAgAAAAIgAAAGRycy9kb3ducmV2LnhtbFBLAQIU&#10;ABQAAAAIAIdO4kC3j+6WKwIAAD4EAAAOAAAAAAAAAAEAIAAAACgBAABkcnMvZTJvRG9jLnhtbFBL&#10;BQYAAAAABgAGAFkBAAD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富力地产NC6少付款业务操作指引用户手册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5692775</wp:posOffset>
          </wp:positionH>
          <wp:positionV relativeFrom="paragraph">
            <wp:posOffset>-95885</wp:posOffset>
          </wp:positionV>
          <wp:extent cx="356235" cy="320675"/>
          <wp:effectExtent l="0" t="0" r="9525" b="14605"/>
          <wp:wrapNone/>
          <wp:docPr id="469" name="图片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" name="图片 46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-83185</wp:posOffset>
          </wp:positionV>
          <wp:extent cx="1054735" cy="309880"/>
          <wp:effectExtent l="0" t="0" r="12065" b="10160"/>
          <wp:wrapNone/>
          <wp:docPr id="470" name="图片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" name="图片 47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ind w:right="210"/>
      <w:jc w:val="both"/>
      <w:rPr>
        <w:rFonts w:ascii="楷体_GB2312" w:eastAsia="楷体_GB2312"/>
        <w:b/>
        <w:bCs/>
        <w:iCs/>
        <w:sz w:val="10"/>
        <w:szCs w:val="10"/>
      </w:rPr>
    </w:pPr>
    <w:r>
      <w:rPr>
        <w:b/>
        <w:bCs/>
        <w:i/>
        <w:iCs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37005" cy="240030"/>
          <wp:effectExtent l="0" t="0" r="10795" b="3810"/>
          <wp:wrapNone/>
          <wp:docPr id="468" name="图片 468" descr="kingdee金蝶(新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" name="图片 468" descr="kingdee金蝶(新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REF 标题 \h  \* MERGEFORMAT </w:instrText>
    </w:r>
    <w:r>
      <w:fldChar w:fldCharType="separate"/>
    </w:r>
    <w:r>
      <w:rPr>
        <w:rFonts w:hint="eastAsia"/>
        <w:b/>
        <w:bCs/>
      </w:rPr>
      <w:t>错误!未找到引用源。</w:t>
    </w:r>
    <w:r>
      <w:fldChar w:fldCharType="end"/>
    </w:r>
  </w:p>
  <w:p>
    <w:pPr>
      <w:pStyle w:val="8"/>
      <w:rPr>
        <w:szCs w:val="10"/>
      </w:rPr>
    </w:pPr>
  </w:p>
  <w:p>
    <w:pPr>
      <w:pStyle w:val="8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tabs>
        <w:tab w:val="left" w:pos="660"/>
        <w:tab w:val="left" w:pos="1950"/>
        <w:tab w:val="left" w:pos="6855"/>
        <w:tab w:val="left" w:pos="7230"/>
        <w:tab w:val="left" w:pos="8364"/>
        <w:tab w:val="clear" w:pos="4153"/>
        <w:tab w:val="clear" w:pos="8306"/>
      </w:tabs>
      <w:wordWrap w:val="0"/>
      <w:ind w:right="406"/>
      <w:rPr>
        <w:b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-54610</wp:posOffset>
          </wp:positionV>
          <wp:extent cx="358140" cy="321945"/>
          <wp:effectExtent l="0" t="0" r="7620" b="13335"/>
          <wp:wrapNone/>
          <wp:docPr id="471" name="图片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图片 47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4" cy="327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-41910</wp:posOffset>
          </wp:positionV>
          <wp:extent cx="1054735" cy="309880"/>
          <wp:effectExtent l="0" t="0" r="12065" b="10160"/>
          <wp:wrapNone/>
          <wp:docPr id="472" name="图片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图片 47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t>富力地产N</w:t>
    </w:r>
    <w:r>
      <w:rPr>
        <w:b/>
      </w:rPr>
      <w:t>C6</w:t>
    </w:r>
    <w:r>
      <w:rPr>
        <w:rFonts w:hint="eastAsia"/>
        <w:b/>
      </w:rPr>
      <w:t>少付款业务操作指引</w:t>
    </w:r>
    <w:r>
      <w:rPr>
        <w:b/>
      </w:rPr>
      <w:t>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093AD"/>
    <w:multiLevelType w:val="singleLevel"/>
    <w:tmpl w:val="870093A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E6124E1"/>
    <w:multiLevelType w:val="multilevel"/>
    <w:tmpl w:val="1E6124E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89DD9B4"/>
    <w:multiLevelType w:val="singleLevel"/>
    <w:tmpl w:val="489DD9B4"/>
    <w:lvl w:ilvl="0" w:tentative="0">
      <w:start w:val="6"/>
      <w:numFmt w:val="decimal"/>
      <w:suff w:val="nothing"/>
      <w:lvlText w:val="%1）"/>
      <w:lvlJc w:val="left"/>
    </w:lvl>
  </w:abstractNum>
  <w:abstractNum w:abstractNumId="3">
    <w:nsid w:val="53B76AB8"/>
    <w:multiLevelType w:val="multilevel"/>
    <w:tmpl w:val="53B76AB8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406"/>
      </w:pPr>
      <w:rPr>
        <w:rFonts w:hint="eastAsia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947"/>
        </w:tabs>
        <w:ind w:left="947" w:hanging="3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3474"/>
        </w:tabs>
        <w:ind w:left="3474" w:hanging="354"/>
      </w:pPr>
      <w:rPr>
        <w:rFonts w:hint="eastAsia"/>
        <w:b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32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30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5DE624D3"/>
    <w:multiLevelType w:val="singleLevel"/>
    <w:tmpl w:val="5DE624D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A2218"/>
    <w:rsid w:val="239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ind w:left="2520"/>
      <w:textAlignment w:val="baseline"/>
    </w:pPr>
    <w:rPr>
      <w:rFonts w:ascii="宋体"/>
      <w:kern w:val="0"/>
      <w:sz w:val="24"/>
      <w:szCs w:val="20"/>
    </w:rPr>
  </w:style>
  <w:style w:type="paragraph" w:styleId="6">
    <w:name w:val="toc 3"/>
    <w:basedOn w:val="1"/>
    <w:next w:val="1"/>
    <w:qFormat/>
    <w:uiPriority w:val="39"/>
    <w:pPr>
      <w:ind w:left="420"/>
    </w:pPr>
    <w:rPr>
      <w:rFonts w:asciiTheme="minorHAnsi" w:hAnsiTheme="minorHAnsi" w:cstheme="minorHAnsi"/>
      <w:i/>
      <w:iCs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0">
    <w:name w:val="toc 2"/>
    <w:basedOn w:val="1"/>
    <w:next w:val="1"/>
    <w:qFormat/>
    <w:uiPriority w:val="39"/>
    <w:pPr>
      <w:ind w:left="21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13">
    <w:name w:val="加粗标题线 Title Bar + 宋体 10 磅 蓝色 左侧:  0 厘米 右侧:  0.05 厘米 行距: 最小值 0 磅"/>
    <w:basedOn w:val="1"/>
    <w:qFormat/>
    <w:uiPriority w:val="0"/>
    <w:pPr>
      <w:keepNext/>
      <w:pageBreakBefore/>
      <w:shd w:val="solid" w:color="auto" w:fill="auto"/>
      <w:overflowPunct w:val="0"/>
      <w:autoSpaceDE w:val="0"/>
      <w:autoSpaceDN w:val="0"/>
      <w:adjustRightInd w:val="0"/>
      <w:spacing w:before="1680" w:line="0" w:lineRule="atLeast"/>
      <w:ind w:right="26"/>
      <w:textAlignment w:val="baseline"/>
    </w:pPr>
    <w:rPr>
      <w:rFonts w:ascii="宋体" w:hAnsi="宋体" w:cs="宋体"/>
      <w:color w:val="0000FF"/>
      <w:kern w:val="0"/>
      <w:sz w:val="20"/>
      <w:szCs w:val="20"/>
    </w:rPr>
  </w:style>
  <w:style w:type="character" w:customStyle="1" w:styleId="14">
    <w:name w:val="Highlighted Variable"/>
    <w:qFormat/>
    <w:uiPriority w:val="0"/>
    <w:rPr>
      <w:rFonts w:ascii="宋体" w:hAnsi="宋体" w:eastAsia="宋体"/>
      <w:color w:val="0000FF"/>
      <w:sz w:val="20"/>
    </w:rPr>
  </w:style>
  <w:style w:type="paragraph" w:customStyle="1" w:styleId="15">
    <w:name w:val="Smt封面项目名称"/>
    <w:basedOn w:val="1"/>
    <w:qFormat/>
    <w:uiPriority w:val="0"/>
    <w:pPr>
      <w:adjustRightInd w:val="0"/>
      <w:jc w:val="center"/>
      <w:textAlignment w:val="baseline"/>
    </w:pPr>
    <w:rPr>
      <w:rFonts w:ascii="Book Antiqua" w:hAnsi="Book Antiqua"/>
      <w:b/>
      <w:bCs/>
      <w:kern w:val="0"/>
      <w:sz w:val="48"/>
      <w:szCs w:val="36"/>
    </w:rPr>
  </w:style>
  <w:style w:type="paragraph" w:customStyle="1" w:styleId="16">
    <w:name w:val="Smt附录"/>
    <w:basedOn w:val="3"/>
    <w:next w:val="17"/>
    <w:qFormat/>
    <w:uiPriority w:val="0"/>
    <w:pPr>
      <w:pageBreakBefore/>
      <w:numPr>
        <w:ilvl w:val="0"/>
        <w:numId w:val="0"/>
      </w:numPr>
      <w:pBdr>
        <w:top w:val="single" w:color="auto" w:sz="30" w:space="4"/>
      </w:pBdr>
      <w:adjustRightInd w:val="0"/>
      <w:spacing w:before="120" w:after="120" w:line="240" w:lineRule="auto"/>
      <w:textAlignment w:val="baseline"/>
    </w:pPr>
    <w:rPr>
      <w:rFonts w:ascii="宋体" w:hAnsi="宋体" w:eastAsia="宋体"/>
      <w:bCs w:val="0"/>
      <w:kern w:val="0"/>
    </w:rPr>
  </w:style>
  <w:style w:type="paragraph" w:customStyle="1" w:styleId="17">
    <w:name w:val="Smt正文1"/>
    <w:basedOn w:val="1"/>
    <w:qFormat/>
    <w:uiPriority w:val="0"/>
    <w:pPr>
      <w:adjustRightInd w:val="0"/>
      <w:spacing w:before="120" w:after="120"/>
      <w:ind w:left="1700"/>
      <w:textAlignment w:val="baseline"/>
    </w:pPr>
    <w:rPr>
      <w:rFonts w:ascii="Book Antiqua" w:hAnsi="Book Antiqua"/>
      <w:kern w:val="0"/>
      <w:szCs w:val="20"/>
    </w:rPr>
  </w:style>
  <w:style w:type="paragraph" w:customStyle="1" w:styleId="18">
    <w:name w:val="文档控制-标题线Heading Bar"/>
    <w:basedOn w:val="1"/>
    <w:next w:val="4"/>
    <w:qFormat/>
    <w:uiPriority w:val="0"/>
    <w:pPr>
      <w:keepNext/>
      <w:keepLines/>
      <w:shd w:val="solid" w:color="auto" w:fill="auto"/>
      <w:overflowPunct w:val="0"/>
      <w:autoSpaceDE w:val="0"/>
      <w:autoSpaceDN w:val="0"/>
      <w:adjustRightInd w:val="0"/>
      <w:spacing w:before="120"/>
      <w:ind w:right="7586"/>
      <w:textAlignment w:val="baseline"/>
    </w:pPr>
    <w:rPr>
      <w:rFonts w:ascii="Book Antiqua" w:hAnsi="Book Antiqua"/>
      <w:color w:val="FFFFFF"/>
      <w:kern w:val="0"/>
      <w:sz w:val="8"/>
    </w:rPr>
  </w:style>
  <w:style w:type="paragraph" w:customStyle="1" w:styleId="19">
    <w:name w:val="Table Heading"/>
    <w:basedOn w:val="20"/>
    <w:qFormat/>
    <w:uiPriority w:val="0"/>
    <w:pPr>
      <w:spacing w:before="120" w:after="120"/>
    </w:pPr>
    <w:rPr>
      <w:rFonts w:ascii="宋体" w:hAnsi="Times New Roman"/>
      <w:b/>
      <w:szCs w:val="20"/>
    </w:rPr>
  </w:style>
  <w:style w:type="paragraph" w:customStyle="1" w:styleId="20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kern w:val="0"/>
      <w:sz w:val="16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2021-09-16T10:16:00Z</dcterms:created>
  <dc:creator>半缘修道半缘君</dc:creator>
  <cp:lastModifiedBy>半缘修道半缘君</cp:lastModifiedBy>
  <dcterms:modified xsi:type="dcterms:W3CDTF">2021-09-16T10:38:26Z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1A90F1E1CC574EAA85BD98CBB5BA829A</vt:lpwstr>
  </property>
</Properties>
</file>