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rPr>
          <w:rStyle w:val="14"/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sz w:val="72"/>
        </w:rPr>
      </w:pPr>
      <w:r>
        <w:rPr>
          <w:rFonts w:asciiTheme="minorEastAsia" w:hAnsiTheme="minorEastAsia" w:eastAsiaTheme="minorEastAsia"/>
        </w:rPr>
        <w:pict>
          <v:rect id="_x0000_i1025" o:spt="1" style="height:0.75pt;width:0pt;" fillcolor="#80808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5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329565</wp:posOffset>
            </wp:positionV>
            <wp:extent cx="5474970" cy="2919730"/>
            <wp:effectExtent l="0" t="0" r="11430" b="6350"/>
            <wp:wrapNone/>
            <wp:docPr id="61" name="图片 7184" descr="说明: 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184" descr="说明: 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lang w:val="en-US" w:eastAsia="zh-CN"/>
        </w:rPr>
        <w:t>2021</w:t>
      </w:r>
      <w:r>
        <w:rPr>
          <w:rFonts w:hint="eastAsia" w:asciiTheme="minorEastAsia" w:hAnsiTheme="minorEastAsia" w:eastAsiaTheme="minorEastAsia"/>
        </w:rPr>
        <w:t>富力地产NC6日常预付款及其核销有关业务用户手册</w:t>
      </w: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bookmarkStart w:id="0" w:name="_Toc212081755"/>
      <w:bookmarkStart w:id="1" w:name="_Toc38342764"/>
      <w:bookmarkStart w:id="2" w:name="_Toc133164746"/>
      <w:bookmarkStart w:id="3" w:name="_Toc41477399"/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5"/>
        <w:tabs>
          <w:tab w:val="left" w:pos="4315"/>
        </w:tabs>
        <w:spacing w:after="0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作者：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谭廷琛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创建日期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20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09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15</w:t>
      </w:r>
    </w:p>
    <w:p>
      <w:pPr>
        <w:pStyle w:val="5"/>
        <w:tabs>
          <w:tab w:val="left" w:pos="4320"/>
        </w:tabs>
        <w:spacing w:after="0"/>
        <w:rPr>
          <w:rFonts w:hint="default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更新日期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2021-09-15</w:t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更新者：</w:t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文档编码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</w:p>
    <w:p>
      <w:pPr>
        <w:pStyle w:val="5"/>
        <w:tabs>
          <w:tab w:val="left" w:pos="4320"/>
        </w:tabs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文档版本</w:t>
      </w:r>
      <w:r>
        <w:rPr>
          <w:rFonts w:asciiTheme="minorEastAsia" w:hAnsiTheme="minorEastAsia" w:eastAsiaTheme="minorEastAsia"/>
          <w:sz w:val="21"/>
          <w:szCs w:val="21"/>
        </w:rPr>
        <w:t>:</w:t>
      </w:r>
      <w:r>
        <w:rPr>
          <w:rFonts w:asciiTheme="minorEastAsia" w:hAnsiTheme="minorEastAsia" w:eastAsiaTheme="minorEastAsia"/>
          <w:sz w:val="21"/>
          <w:szCs w:val="21"/>
        </w:rPr>
        <w:tab/>
      </w:r>
      <w:r>
        <w:rPr>
          <w:rFonts w:asciiTheme="minorEastAsia" w:hAnsiTheme="minorEastAsia" w:eastAsiaTheme="minorEastAsia"/>
          <w:sz w:val="21"/>
          <w:szCs w:val="21"/>
        </w:rPr>
        <w:t>V</w:t>
      </w: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.0</w:t>
      </w:r>
    </w:p>
    <w:p>
      <w:pPr>
        <w:jc w:val="righ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br w:type="textWrapping" w:clear="all"/>
      </w: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jc w:val="right"/>
        <w:rPr>
          <w:rFonts w:asciiTheme="minorEastAsia" w:hAnsiTheme="minorEastAsia" w:eastAsiaTheme="minorEastAsia"/>
          <w:b/>
        </w:rPr>
      </w:pPr>
    </w:p>
    <w:p>
      <w:pPr>
        <w:pStyle w:val="16"/>
        <w:pBdr>
          <w:top w:val="single" w:color="auto" w:sz="30" w:space="20"/>
        </w:pBdr>
        <w:tabs>
          <w:tab w:val="right" w:pos="8551"/>
        </w:tabs>
        <w:spacing w:line="360" w:lineRule="auto"/>
        <w:rPr>
          <w:rFonts w:asciiTheme="minorEastAsia" w:hAnsiTheme="minorEastAsia" w:eastAsiaTheme="minorEastAsia"/>
        </w:rPr>
      </w:pPr>
      <w:bookmarkStart w:id="4" w:name="_Toc283560402"/>
      <w:bookmarkStart w:id="5" w:name="_Toc257924016"/>
      <w:bookmarkStart w:id="6" w:name="_Toc338255637"/>
      <w:bookmarkStart w:id="7" w:name="_Toc283330715"/>
      <w:bookmarkStart w:id="8" w:name="_Toc283560445"/>
      <w:bookmarkStart w:id="9" w:name="_Toc28861"/>
      <w:bookmarkStart w:id="10" w:name="_Toc283560324"/>
      <w:bookmarkStart w:id="11" w:name="_Toc29993"/>
      <w:bookmarkStart w:id="12" w:name="_Toc283330098"/>
      <w:bookmarkStart w:id="13" w:name="_Toc457223838"/>
      <w:bookmarkStart w:id="14" w:name="_Toc3503"/>
      <w:r>
        <w:rPr>
          <w:rFonts w:hint="eastAsia" w:asciiTheme="minorEastAsia" w:hAnsiTheme="minorEastAsia" w:eastAsiaTheme="minorEastAsia"/>
        </w:rPr>
        <w:t>文档控制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Theme="minorEastAsia" w:hAnsiTheme="minorEastAsia" w:eastAsiaTheme="minorEastAsia"/>
        </w:rPr>
        <w:tab/>
      </w:r>
    </w:p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b/>
          <w:bCs/>
        </w:rPr>
      </w:pPr>
      <w:bookmarkStart w:id="15" w:name="_Toc7318568"/>
      <w:bookmarkStart w:id="16" w:name="_Toc7317898"/>
      <w:bookmarkStart w:id="17" w:name="_Toc415912153"/>
      <w:bookmarkStart w:id="18" w:name="_Toc449934798"/>
      <w:r>
        <w:rPr>
          <w:rFonts w:hint="eastAsia" w:asciiTheme="minorEastAsia" w:hAnsiTheme="minorEastAsia" w:eastAsiaTheme="minorEastAsia"/>
          <w:b/>
          <w:bCs/>
        </w:rPr>
        <w:t>更改记录</w:t>
      </w:r>
      <w:bookmarkEnd w:id="15"/>
      <w:bookmarkEnd w:id="16"/>
      <w:bookmarkEnd w:id="17"/>
      <w:bookmarkEnd w:id="18"/>
    </w:p>
    <w:tbl>
      <w:tblPr>
        <w:tblStyle w:val="11"/>
        <w:tblW w:w="6788" w:type="dxa"/>
        <w:tblInd w:w="15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tcBorders>
              <w:bottom w:val="nil"/>
              <w:right w:val="nil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tcBorders>
              <w:bottom w:val="nil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作者</w:t>
            </w:r>
          </w:p>
        </w:tc>
        <w:tc>
          <w:tcPr>
            <w:tcW w:w="1400" w:type="dxa"/>
            <w:tcBorders>
              <w:bottom w:val="nil"/>
              <w:right w:val="single" w:color="auto" w:sz="2" w:space="0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版本</w:t>
            </w:r>
          </w:p>
        </w:tc>
        <w:tc>
          <w:tcPr>
            <w:tcW w:w="2500" w:type="dxa"/>
            <w:tcBorders>
              <w:top w:val="single" w:color="auto" w:sz="12" w:space="0"/>
              <w:left w:val="single" w:color="auto" w:sz="2" w:space="0"/>
              <w:bottom w:val="single" w:color="auto" w:sz="6" w:space="0"/>
            </w:tcBorders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更改记录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tcBorders>
              <w:top w:val="single" w:color="auto" w:sz="6" w:space="0"/>
              <w:left w:val="nil"/>
              <w:right w:val="nil"/>
            </w:tcBorders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  <w:tcBorders>
              <w:top w:val="nil"/>
            </w:tcBorders>
          </w:tcPr>
          <w:p>
            <w:pPr>
              <w:pStyle w:val="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/>
              </w:rPr>
              <w:t>-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15</w:t>
            </w:r>
          </w:p>
        </w:tc>
        <w:tc>
          <w:tcPr>
            <w:tcW w:w="1500" w:type="dxa"/>
            <w:tcBorders>
              <w:top w:val="nil"/>
            </w:tcBorders>
          </w:tcPr>
          <w:p>
            <w:pPr>
              <w:pStyle w:val="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谭廷琛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初始版</w:t>
            </w:r>
          </w:p>
        </w:tc>
        <w:tc>
          <w:tcPr>
            <w:tcW w:w="2500" w:type="dxa"/>
            <w:tcBorders>
              <w:top w:val="nil"/>
            </w:tcBorders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审阅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3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39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  <w:r>
              <w:rPr>
                <w:rFonts w:asciiTheme="minorEastAsia" w:hAnsiTheme="minorEastAsia" w:eastAsiaTheme="minorEastAsia"/>
                <w:sz w:val="8"/>
              </w:rPr>
              <w:t>2011-1-23</w:t>
            </w:r>
          </w:p>
        </w:tc>
        <w:tc>
          <w:tcPr>
            <w:tcW w:w="1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39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9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pStyle w:val="18"/>
        <w:ind w:right="7585" w:rightChars="3612"/>
        <w:rPr>
          <w:rFonts w:asciiTheme="minorEastAsia" w:hAnsiTheme="minorEastAsia" w:eastAsiaTheme="minorEastAsia"/>
          <w:color w:val="auto"/>
        </w:rPr>
      </w:pPr>
    </w:p>
    <w:p>
      <w:pPr>
        <w:keepNext/>
        <w:keepLines/>
        <w:spacing w:before="120" w:after="12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分发</w:t>
      </w:r>
    </w:p>
    <w:tbl>
      <w:tblPr>
        <w:tblStyle w:val="11"/>
        <w:tblW w:w="6788" w:type="dxa"/>
        <w:tblInd w:w="15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00"/>
        <w:gridCol w:w="1400"/>
        <w:gridCol w:w="25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388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</w:t>
            </w:r>
          </w:p>
        </w:tc>
        <w:tc>
          <w:tcPr>
            <w:tcW w:w="1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份数</w:t>
            </w:r>
          </w:p>
        </w:tc>
        <w:tc>
          <w:tcPr>
            <w:tcW w:w="14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2500" w:type="dxa"/>
            <w:shd w:val="pct10" w:color="auto" w:fill="auto"/>
          </w:tcPr>
          <w:p>
            <w:pPr>
              <w:pStyle w:val="19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tblHeader/>
        </w:trPr>
        <w:tc>
          <w:tcPr>
            <w:tcW w:w="1388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14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  <w:tc>
          <w:tcPr>
            <w:tcW w:w="2500" w:type="dxa"/>
            <w:shd w:val="pct50" w:color="auto" w:fill="auto"/>
          </w:tcPr>
          <w:p>
            <w:pPr>
              <w:pStyle w:val="20"/>
              <w:rPr>
                <w:rFonts w:asciiTheme="minorEastAsia" w:hAnsiTheme="minorEastAsia" w:eastAsiaTheme="minorEastAsia"/>
                <w:sz w:val="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8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00" w:type="dxa"/>
          </w:tcPr>
          <w:p>
            <w:pPr>
              <w:pStyle w:val="20"/>
              <w:rPr>
                <w:rFonts w:asciiTheme="minorEastAsia" w:hAnsiTheme="minorEastAsia" w:eastAsiaTheme="minorEastAsia"/>
              </w:rPr>
            </w:pPr>
          </w:p>
        </w:tc>
      </w:tr>
      <w:bookmarkEnd w:id="1"/>
      <w:bookmarkEnd w:id="2"/>
      <w:bookmarkEnd w:id="3"/>
    </w:tbl>
    <w:p>
      <w:pPr>
        <w:rPr>
          <w:rFonts w:asciiTheme="minorEastAsia" w:hAnsiTheme="minorEastAsia" w:eastAsiaTheme="minorEastAsia"/>
          <w:b/>
          <w:bCs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720" w:right="720" w:bottom="720" w:left="720" w:header="851" w:footer="992" w:gutter="0"/>
          <w:pgNumType w:start="1"/>
          <w:cols w:space="425" w:num="1"/>
          <w:titlePg/>
          <w:docGrid w:type="lines" w:linePitch="326" w:charSpace="-4916"/>
        </w:sect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960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9" w:name="_Toc17234223"/>
          <w:bookmarkStart w:id="20" w:name="_Toc28517"/>
          <w:bookmarkStart w:id="21" w:name="_Toc32117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_Toc3503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/>
            </w:rPr>
            <w:t>文档控制</w:t>
          </w:r>
          <w:r>
            <w:tab/>
          </w:r>
          <w:r>
            <w:fldChar w:fldCharType="begin"/>
          </w:r>
          <w:r>
            <w:instrText xml:space="preserve"> PAGEREF _Toc3503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fldChar w:fldCharType="begin"/>
          </w:r>
          <w:r>
            <w:instrText xml:space="preserve"> HYPERLINK \l _Toc4558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lang w:val="en-US" w:eastAsia="zh-CN"/>
            </w:rPr>
            <w:t>1.</w:t>
          </w:r>
          <w:r>
            <w:rPr>
              <w:rFonts w:ascii="微软雅黑" w:hAnsi="微软雅黑" w:eastAsia="微软雅黑"/>
            </w:rPr>
            <w:t>业务场景</w:t>
          </w:r>
          <w:r>
            <w:tab/>
          </w:r>
          <w:r>
            <w:fldChar w:fldCharType="begin"/>
          </w:r>
          <w:r>
            <w:instrText xml:space="preserve"> PAGEREF _Toc4558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pos="9746"/>
            </w:tabs>
          </w:pPr>
          <w:r>
            <w:fldChar w:fldCharType="begin"/>
          </w:r>
          <w:r>
            <w:instrText xml:space="preserve"> HYPERLINK \l _Toc5049 </w:instrText>
          </w:r>
          <w:r>
            <w:fldChar w:fldCharType="separate"/>
          </w:r>
          <w:r>
            <w:rPr>
              <w:rFonts w:hint="eastAsia" w:ascii="微软雅黑" w:hAnsi="微软雅黑" w:eastAsia="微软雅黑"/>
              <w:lang w:val="en-US" w:eastAsia="zh-CN"/>
            </w:rPr>
            <w:t>2.</w:t>
          </w:r>
          <w:r>
            <w:rPr>
              <w:rFonts w:ascii="微软雅黑" w:hAnsi="微软雅黑" w:eastAsia="微软雅黑"/>
            </w:rPr>
            <w:t>操作指引</w:t>
          </w:r>
          <w:r>
            <w:tab/>
          </w:r>
          <w:r>
            <w:fldChar w:fldCharType="begin"/>
          </w:r>
          <w:r>
            <w:instrText xml:space="preserve"> PAGEREF _Toc5049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_Toc8845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2.1预付款项时，自制付款单</w:t>
          </w:r>
          <w:r>
            <w:tab/>
          </w:r>
          <w:r>
            <w:fldChar w:fldCharType="begin"/>
          </w:r>
          <w:r>
            <w:instrText xml:space="preserve"> PAGEREF _Toc8845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_Toc14851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2.2收到采购发票后自动生成对应的应付单</w:t>
          </w:r>
          <w:r>
            <w:tab/>
          </w:r>
          <w:r>
            <w:fldChar w:fldCharType="begin"/>
          </w:r>
          <w:r>
            <w:instrText xml:space="preserve"> PAGEREF _Toc14851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_Toc25275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2.3实际付款前预付与应付需要进行手工核销</w:t>
          </w:r>
          <w:r>
            <w:tab/>
          </w:r>
          <w:r>
            <w:fldChar w:fldCharType="begin"/>
          </w:r>
          <w:r>
            <w:instrText xml:space="preserve"> PAGEREF _Toc25275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pos="9746"/>
            </w:tabs>
          </w:pPr>
          <w:r>
            <w:fldChar w:fldCharType="begin"/>
          </w:r>
          <w:r>
            <w:instrText xml:space="preserve"> HYPERLINK \l _Toc10869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2.4实际付款时</w:t>
          </w:r>
          <w:r>
            <w:tab/>
          </w:r>
          <w:r>
            <w:fldChar w:fldCharType="begin"/>
          </w:r>
          <w:r>
            <w:instrText xml:space="preserve"> PAGEREF _Toc10869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fldChar w:fldCharType="end"/>
          </w:r>
        </w:p>
      </w:sdtContent>
    </w:sdt>
    <w:p>
      <w:pPr>
        <w:pStyle w:val="2"/>
        <w:numPr>
          <w:ilvl w:val="0"/>
          <w:numId w:val="0"/>
        </w:numPr>
        <w:ind w:leftChars="0"/>
        <w:rPr>
          <w:rFonts w:ascii="微软雅黑" w:hAnsi="微软雅黑" w:eastAsia="微软雅黑"/>
          <w:sz w:val="32"/>
        </w:rPr>
      </w:pPr>
      <w:bookmarkStart w:id="22" w:name="_Toc4558"/>
      <w:r>
        <w:rPr>
          <w:rFonts w:hint="eastAsia" w:ascii="微软雅黑" w:hAnsi="微软雅黑" w:eastAsia="微软雅黑"/>
          <w:sz w:val="32"/>
          <w:lang w:val="en-US" w:eastAsia="zh-CN"/>
        </w:rPr>
        <w:t>1.</w:t>
      </w:r>
      <w:r>
        <w:rPr>
          <w:rFonts w:ascii="微软雅黑" w:hAnsi="微软雅黑" w:eastAsia="微软雅黑"/>
          <w:sz w:val="32"/>
        </w:rPr>
        <w:t>业务场景</w:t>
      </w:r>
      <w:bookmarkEnd w:id="19"/>
      <w:bookmarkEnd w:id="20"/>
      <w:bookmarkEnd w:id="21"/>
      <w:bookmarkEnd w:id="22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日常采购业务中也会有预付一部分材料款情况，发生预付款业务时需要在NC进行相应的操作。由于没有单独的预付模块，则需要在应付模块的付款单管理自制单据。</w:t>
      </w:r>
    </w:p>
    <w:p>
      <w:pPr>
        <w:pStyle w:val="2"/>
        <w:numPr>
          <w:ilvl w:val="0"/>
          <w:numId w:val="0"/>
        </w:numPr>
        <w:ind w:leftChars="0"/>
        <w:rPr>
          <w:rFonts w:ascii="微软雅黑" w:hAnsi="微软雅黑" w:eastAsia="微软雅黑"/>
          <w:sz w:val="32"/>
        </w:rPr>
      </w:pPr>
      <w:bookmarkStart w:id="23" w:name="_Toc17234224"/>
      <w:bookmarkStart w:id="24" w:name="_Toc25004"/>
      <w:bookmarkStart w:id="25" w:name="_Toc23621"/>
      <w:bookmarkStart w:id="26" w:name="_Toc5049"/>
      <w:r>
        <w:rPr>
          <w:rFonts w:hint="eastAsia" w:ascii="微软雅黑" w:hAnsi="微软雅黑" w:eastAsia="微软雅黑"/>
          <w:sz w:val="32"/>
          <w:lang w:val="en-US" w:eastAsia="zh-CN"/>
        </w:rPr>
        <w:t>2.</w:t>
      </w:r>
      <w:r>
        <w:rPr>
          <w:rFonts w:ascii="微软雅黑" w:hAnsi="微软雅黑" w:eastAsia="微软雅黑"/>
          <w:sz w:val="32"/>
        </w:rPr>
        <w:t>操作指引</w:t>
      </w:r>
      <w:bookmarkEnd w:id="23"/>
      <w:bookmarkEnd w:id="24"/>
      <w:bookmarkEnd w:id="25"/>
      <w:bookmarkEnd w:id="26"/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27" w:name="_Toc8845"/>
      <w:r>
        <w:rPr>
          <w:rFonts w:hint="eastAsia"/>
          <w:lang w:val="en-US" w:eastAsia="zh-CN"/>
        </w:rPr>
        <w:t>2.1预付款项时，自制付款单</w:t>
      </w:r>
      <w:bookmarkEnd w:id="27"/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打开付款单管理节点，点击新增-自制，自制一张</w:t>
      </w:r>
      <w:r>
        <w:rPr>
          <w:rFonts w:hint="eastAsia"/>
          <w:b w:val="0"/>
          <w:bCs w:val="0"/>
          <w:color w:val="FF0000"/>
          <w:lang w:val="en-US" w:eastAsia="zh-CN"/>
        </w:rPr>
        <w:t>2000元，表体付款性质为：预付款</w:t>
      </w:r>
      <w:r>
        <w:rPr>
          <w:rFonts w:hint="eastAsia"/>
          <w:b w:val="0"/>
          <w:bCs w:val="0"/>
          <w:lang w:val="en-US" w:eastAsia="zh-CN"/>
        </w:rPr>
        <w:t>的付款单，如下图所示：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注意：不能直接新增付款结算单进行预付业务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0500" cy="2080895"/>
            <wp:effectExtent l="0" t="0" r="2540" b="698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单据字段信息填写完整后点击“保存”以及“审批”。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971040"/>
            <wp:effectExtent l="0" t="0" r="5715" b="1016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28" w:name="_Toc14851"/>
      <w:r>
        <w:rPr>
          <w:rFonts w:hint="eastAsia"/>
          <w:lang w:val="en-US" w:eastAsia="zh-CN"/>
        </w:rPr>
        <w:t>2.2收到采购发票后自动生成对应的应付单</w:t>
      </w:r>
      <w:bookmarkEnd w:id="28"/>
    </w:p>
    <w:p>
      <w:pPr>
        <w:numPr>
          <w:ilvl w:val="0"/>
          <w:numId w:val="3"/>
        </w:numPr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采购发票审批后，自动生成一张应付单（金额为</w:t>
      </w:r>
      <w:r>
        <w:rPr>
          <w:rFonts w:hint="eastAsia"/>
          <w:b w:val="0"/>
          <w:bCs w:val="0"/>
          <w:color w:val="FF0000"/>
          <w:lang w:val="en-US" w:eastAsia="zh-CN"/>
        </w:rPr>
        <w:t>3755.04</w:t>
      </w:r>
      <w:r>
        <w:rPr>
          <w:rFonts w:hint="eastAsia"/>
          <w:b w:val="0"/>
          <w:bCs w:val="0"/>
          <w:lang w:val="en-US" w:eastAsia="zh-CN"/>
        </w:rPr>
        <w:t>），在应付管理节点查询出该张应付单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2036445"/>
            <wp:effectExtent l="0" t="0" r="7620" b="57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检查信息是否正确，正确则点击“保存”、“审批”，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5262880" cy="1783715"/>
            <wp:effectExtent l="0" t="0" r="10160" b="1460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29" w:name="_Toc25275"/>
      <w:r>
        <w:rPr>
          <w:rFonts w:hint="eastAsia"/>
          <w:lang w:val="en-US" w:eastAsia="zh-CN"/>
        </w:rPr>
        <w:t>2.3实际付款前预付与应付需要进行手工核销</w:t>
      </w:r>
      <w:bookmarkEnd w:id="29"/>
    </w:p>
    <w:p>
      <w:pPr>
        <w:numPr>
          <w:ilvl w:val="0"/>
          <w:numId w:val="4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打开手工核销节点，根据条件查询出核销的付款单与应付单，如下图所示：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2804160"/>
            <wp:effectExtent l="0" t="0" r="6985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2252980"/>
            <wp:effectExtent l="0" t="0" r="6350" b="254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注意：一般情况都是同供应商或同部门才可核销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查询出核销对象后，勾选上需要进行核销的单据，点击按借方匹配后，应付单中本次结算的金额变为与付款单一致的</w:t>
      </w:r>
      <w:r>
        <w:rPr>
          <w:rFonts w:hint="eastAsia"/>
          <w:b w:val="0"/>
          <w:bCs w:val="0"/>
          <w:color w:val="FF0000"/>
          <w:lang w:val="en-US" w:eastAsia="zh-CN"/>
        </w:rPr>
        <w:t>2000</w:t>
      </w:r>
      <w:r>
        <w:rPr>
          <w:rFonts w:hint="eastAsia"/>
          <w:b w:val="0"/>
          <w:bCs w:val="0"/>
          <w:lang w:val="en-US" w:eastAsia="zh-CN"/>
        </w:rPr>
        <w:t>，点击“核销”则核销成功，如下图所示：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240280"/>
            <wp:effectExtent l="0" t="0" r="381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226310"/>
            <wp:effectExtent l="0" t="0" r="2540" b="1397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核销后会出现一行核销记录，勾选该条记录，点击核销明细可查看核销的明细信息，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在【核销查询】可以查询出手工核销后的单据。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1801495"/>
            <wp:effectExtent l="0" t="0" r="4445" b="1206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155065"/>
            <wp:effectExtent l="0" t="0" r="1270" b="3175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核销后生成的核销单需要生成对应的凭证，打开单据生成节点，查询出该张核销单，如下图：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5267325" cy="3161665"/>
            <wp:effectExtent l="0" t="0" r="5715" b="825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785" cy="1350010"/>
            <wp:effectExtent l="0" t="0" r="8255" b="6350"/>
            <wp:docPr id="2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5）查询出核销单后点击“生成-前台生成”，查看摘要、科目及金额是否正确，正确后点击“保存”、后续需要“签字”、“审核”、“记账”。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3515" cy="2114550"/>
            <wp:effectExtent l="0" t="0" r="9525" b="3810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/>
          <w:lang w:val="en-US" w:eastAsia="zh-CN"/>
        </w:rPr>
      </w:pPr>
      <w:bookmarkStart w:id="30" w:name="_Toc10869"/>
      <w:r>
        <w:rPr>
          <w:rFonts w:hint="eastAsia"/>
          <w:lang w:val="en-US" w:eastAsia="zh-CN"/>
        </w:rPr>
        <w:t>2.4实际付款时</w:t>
      </w:r>
      <w:bookmarkEnd w:id="30"/>
    </w:p>
    <w:p>
      <w:pPr>
        <w:numPr>
          <w:ilvl w:val="0"/>
          <w:numId w:val="5"/>
        </w:numPr>
        <w:ind w:left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核销后，直接参照应付单做付款即可，打开付款单管理节点，点击“新增-应付单”，根据单据号查询出该张应付单，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493645"/>
            <wp:effectExtent l="0" t="0" r="5080" b="5715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93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p>
      <w:pPr>
        <w:numPr>
          <w:ilvl w:val="0"/>
          <w:numId w:val="5"/>
        </w:numPr>
        <w:ind w:left="0" w:leftChars="0" w:firstLine="0" w:firstLineChars="0"/>
      </w:pPr>
      <w:r>
        <w:rPr>
          <w:rFonts w:hint="eastAsia"/>
          <w:b w:val="0"/>
          <w:bCs w:val="0"/>
          <w:lang w:val="en-US" w:eastAsia="zh-CN"/>
        </w:rPr>
        <w:t>可以看到核销之后，参照该张应付单生成付款单时，可用金额为</w:t>
      </w:r>
      <w:r>
        <w:rPr>
          <w:rFonts w:hint="eastAsia"/>
          <w:b w:val="0"/>
          <w:bCs w:val="0"/>
          <w:color w:val="FF0000"/>
          <w:lang w:val="en-US" w:eastAsia="zh-CN"/>
        </w:rPr>
        <w:t>1755.04（3755.04-2000）</w:t>
      </w:r>
      <w:r>
        <w:drawing>
          <wp:inline distT="0" distB="0" distL="114300" distR="114300">
            <wp:extent cx="5267960" cy="2602230"/>
            <wp:effectExtent l="0" t="0" r="5080" b="3810"/>
            <wp:docPr id="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02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1962785"/>
            <wp:effectExtent l="0" t="0" r="13970" b="3175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3）付款单填写完整后点击“保存”、“审批”即可。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kern w:val="0"/>
        <w:szCs w:val="21"/>
      </w:rPr>
    </w:pPr>
    <w:r>
      <w:rPr>
        <w:rFonts w:hint="eastAsia"/>
        <w:kern w:val="0"/>
        <w:szCs w:val="21"/>
      </w:rPr>
      <w:t>内部资料 仅供富力集团 翰智软件使用</w:t>
    </w:r>
  </w:p>
  <w:p>
    <w:pPr>
      <w:pStyle w:val="7"/>
      <w:jc w:val="right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8985"/>
        <w:tab w:val="clear" w:pos="4153"/>
        <w:tab w:val="clear" w:pos="8306"/>
      </w:tabs>
      <w:wordWrap w:val="0"/>
      <w:ind w:left="180" w:right="57" w:rightChars="27" w:hanging="180" w:hangingChars="100"/>
      <w:jc w:val="left"/>
      <w:rPr>
        <w:b/>
      </w:rPr>
    </w:pPr>
    <w: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-126365</wp:posOffset>
              </wp:positionV>
              <wp:extent cx="3110230" cy="285115"/>
              <wp:effectExtent l="0" t="0" r="13970" b="4445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0230" cy="285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富力地产NC6财务部门、项目档案用户手册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66pt;margin-top:-9.95pt;height:22.45pt;width:244.9pt;mso-wrap-distance-bottom:3.6pt;mso-wrap-distance-left:9pt;mso-wrap-distance-right:9pt;mso-wrap-distance-top:3.6pt;z-index:251663360;mso-width-relative:page;mso-height-relative:page;" fillcolor="#FFFFFF" filled="t" stroked="f" coordsize="21600,21600" o:gfxdata="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K75EHZAAAACgEAAA8AAAAAAAAAAQAgAAAAIgAAAGRycy9kb3ducmV2LnhtbFBLAQIU&#10;ABQAAAAIAIdO4kC3j+6WKwIAAD4EAAAOAAAAAAAAAAEAIAAAACgBAABkcnMvZTJvRG9jLnhtbFBL&#10;BQYAAAAABgAGAFkBAAD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富力地产NC6财务部门、项目档案用户手册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5692775</wp:posOffset>
          </wp:positionH>
          <wp:positionV relativeFrom="paragraph">
            <wp:posOffset>-95885</wp:posOffset>
          </wp:positionV>
          <wp:extent cx="356235" cy="320675"/>
          <wp:effectExtent l="0" t="0" r="9525" b="14605"/>
          <wp:wrapNone/>
          <wp:docPr id="469" name="图片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" name="图片 46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400" cy="3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-83185</wp:posOffset>
          </wp:positionV>
          <wp:extent cx="1054735" cy="309880"/>
          <wp:effectExtent l="0" t="0" r="12065" b="10160"/>
          <wp:wrapNone/>
          <wp:docPr id="470" name="图片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" name="图片 47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ind w:right="210"/>
      <w:jc w:val="both"/>
      <w:rPr>
        <w:rFonts w:ascii="楷体_GB2312" w:eastAsia="楷体_GB2312"/>
        <w:b/>
        <w:bCs/>
        <w:iCs/>
        <w:sz w:val="10"/>
        <w:szCs w:val="10"/>
      </w:rPr>
    </w:pPr>
    <w:r>
      <w:rPr>
        <w:b/>
        <w:bCs/>
        <w:i/>
        <w:iCs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37005" cy="240030"/>
          <wp:effectExtent l="0" t="0" r="10795" b="3810"/>
          <wp:wrapNone/>
          <wp:docPr id="468" name="图片 468" descr="kingdee金蝶(新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" name="图片 468" descr="kingdee金蝶(新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24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REF 标题 \h  \* MERGEFORMAT </w:instrText>
    </w:r>
    <w:r>
      <w:fldChar w:fldCharType="separate"/>
    </w:r>
    <w:r>
      <w:rPr>
        <w:rFonts w:hint="eastAsia"/>
        <w:b/>
        <w:bCs/>
      </w:rPr>
      <w:t>错误!未找到引用源。</w:t>
    </w:r>
    <w:r>
      <w:fldChar w:fldCharType="end"/>
    </w:r>
  </w:p>
  <w:p>
    <w:pPr>
      <w:pStyle w:val="8"/>
      <w:rPr>
        <w:szCs w:val="10"/>
      </w:rPr>
    </w:pPr>
  </w:p>
  <w:p>
    <w:pPr>
      <w:pStyle w:val="8"/>
      <w:rPr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thickThinSmallGap" w:color="auto" w:sz="24" w:space="6"/>
      </w:pBdr>
      <w:tabs>
        <w:tab w:val="left" w:pos="660"/>
        <w:tab w:val="left" w:pos="1950"/>
        <w:tab w:val="left" w:pos="6855"/>
        <w:tab w:val="left" w:pos="7230"/>
        <w:tab w:val="left" w:pos="8364"/>
        <w:tab w:val="clear" w:pos="4153"/>
        <w:tab w:val="clear" w:pos="8306"/>
      </w:tabs>
      <w:wordWrap w:val="0"/>
      <w:ind w:right="406"/>
      <w:rPr>
        <w:b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-54610</wp:posOffset>
          </wp:positionV>
          <wp:extent cx="358140" cy="321945"/>
          <wp:effectExtent l="0" t="0" r="7620" b="13335"/>
          <wp:wrapNone/>
          <wp:docPr id="471" name="图片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" name="图片 47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4" cy="3270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-41910</wp:posOffset>
          </wp:positionV>
          <wp:extent cx="1054735" cy="309880"/>
          <wp:effectExtent l="0" t="0" r="12065" b="10160"/>
          <wp:wrapNone/>
          <wp:docPr id="472" name="图片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图片 47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</w:rPr>
      <w:t>富力地产N</w:t>
    </w:r>
    <w:r>
      <w:rPr>
        <w:b/>
      </w:rPr>
      <w:t>C6</w:t>
    </w:r>
    <w:r>
      <w:rPr>
        <w:rFonts w:hint="eastAsia"/>
        <w:b/>
      </w:rPr>
      <w:t>日常预付款及其核销有关业务</w:t>
    </w:r>
    <w:r>
      <w:rPr>
        <w:b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925EB"/>
    <w:multiLevelType w:val="singleLevel"/>
    <w:tmpl w:val="8D2925E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AA483048"/>
    <w:multiLevelType w:val="singleLevel"/>
    <w:tmpl w:val="AA483048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DF2F13E5"/>
    <w:multiLevelType w:val="singleLevel"/>
    <w:tmpl w:val="DF2F13E5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3E32A39F"/>
    <w:multiLevelType w:val="singleLevel"/>
    <w:tmpl w:val="3E32A39F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53B76AB8"/>
    <w:multiLevelType w:val="multilevel"/>
    <w:tmpl w:val="53B76AB8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406"/>
      </w:pPr>
      <w:rPr>
        <w:rFonts w:hint="eastAsia"/>
        <w:b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947"/>
        </w:tabs>
        <w:ind w:left="947" w:hanging="3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3474"/>
        </w:tabs>
        <w:ind w:left="3474" w:hanging="354"/>
      </w:pPr>
      <w:rPr>
        <w:rFonts w:hint="eastAsia"/>
        <w:b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32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301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93F8A"/>
    <w:rsid w:val="47B93F8A"/>
    <w:rsid w:val="4AD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overflowPunct w:val="0"/>
      <w:autoSpaceDE w:val="0"/>
      <w:autoSpaceDN w:val="0"/>
      <w:adjustRightInd w:val="0"/>
      <w:spacing w:before="120" w:after="120"/>
      <w:ind w:left="2520"/>
      <w:textAlignment w:val="baseline"/>
    </w:pPr>
    <w:rPr>
      <w:rFonts w:ascii="宋体"/>
      <w:kern w:val="0"/>
      <w:sz w:val="24"/>
      <w:szCs w:val="20"/>
    </w:rPr>
  </w:style>
  <w:style w:type="paragraph" w:styleId="6">
    <w:name w:val="toc 3"/>
    <w:basedOn w:val="1"/>
    <w:next w:val="1"/>
    <w:qFormat/>
    <w:uiPriority w:val="39"/>
    <w:pPr>
      <w:ind w:left="420"/>
    </w:pPr>
    <w:rPr>
      <w:rFonts w:asciiTheme="minorHAnsi" w:hAnsiTheme="minorHAnsi" w:cstheme="minorHAnsi"/>
      <w:i/>
      <w:iCs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13">
    <w:name w:val="加粗标题线 Title Bar + 宋体 10 磅 蓝色 左侧:  0 厘米 右侧:  0.05 厘米 行距: 最小值 0 磅"/>
    <w:basedOn w:val="1"/>
    <w:qFormat/>
    <w:uiPriority w:val="0"/>
    <w:pPr>
      <w:keepNext/>
      <w:pageBreakBefore/>
      <w:shd w:val="solid" w:color="auto" w:fill="auto"/>
      <w:overflowPunct w:val="0"/>
      <w:autoSpaceDE w:val="0"/>
      <w:autoSpaceDN w:val="0"/>
      <w:adjustRightInd w:val="0"/>
      <w:spacing w:before="1680" w:line="0" w:lineRule="atLeast"/>
      <w:ind w:right="26"/>
      <w:textAlignment w:val="baseline"/>
    </w:pPr>
    <w:rPr>
      <w:rFonts w:ascii="宋体" w:hAnsi="宋体" w:cs="宋体"/>
      <w:color w:val="0000FF"/>
      <w:kern w:val="0"/>
      <w:sz w:val="20"/>
      <w:szCs w:val="20"/>
    </w:rPr>
  </w:style>
  <w:style w:type="character" w:customStyle="1" w:styleId="14">
    <w:name w:val="Highlighted Variable"/>
    <w:qFormat/>
    <w:uiPriority w:val="0"/>
    <w:rPr>
      <w:rFonts w:ascii="宋体" w:hAnsi="宋体" w:eastAsia="宋体"/>
      <w:color w:val="0000FF"/>
      <w:sz w:val="20"/>
    </w:rPr>
  </w:style>
  <w:style w:type="paragraph" w:customStyle="1" w:styleId="15">
    <w:name w:val="Smt封面项目名称"/>
    <w:basedOn w:val="1"/>
    <w:qFormat/>
    <w:uiPriority w:val="0"/>
    <w:pPr>
      <w:adjustRightInd w:val="0"/>
      <w:jc w:val="center"/>
      <w:textAlignment w:val="baseline"/>
    </w:pPr>
    <w:rPr>
      <w:rFonts w:ascii="Book Antiqua" w:hAnsi="Book Antiqua"/>
      <w:b/>
      <w:bCs/>
      <w:kern w:val="0"/>
      <w:sz w:val="48"/>
      <w:szCs w:val="36"/>
    </w:rPr>
  </w:style>
  <w:style w:type="paragraph" w:customStyle="1" w:styleId="16">
    <w:name w:val="Smt附录"/>
    <w:basedOn w:val="3"/>
    <w:next w:val="17"/>
    <w:qFormat/>
    <w:uiPriority w:val="0"/>
    <w:pPr>
      <w:pageBreakBefore/>
      <w:numPr>
        <w:ilvl w:val="0"/>
        <w:numId w:val="0"/>
      </w:numPr>
      <w:pBdr>
        <w:top w:val="single" w:color="auto" w:sz="30" w:space="4"/>
      </w:pBdr>
      <w:adjustRightInd w:val="0"/>
      <w:spacing w:before="120" w:after="120" w:line="240" w:lineRule="auto"/>
      <w:textAlignment w:val="baseline"/>
    </w:pPr>
    <w:rPr>
      <w:rFonts w:ascii="宋体" w:hAnsi="宋体" w:eastAsia="宋体"/>
      <w:bCs w:val="0"/>
      <w:kern w:val="0"/>
    </w:rPr>
  </w:style>
  <w:style w:type="paragraph" w:customStyle="1" w:styleId="17">
    <w:name w:val="Smt正文1"/>
    <w:basedOn w:val="1"/>
    <w:qFormat/>
    <w:uiPriority w:val="0"/>
    <w:pPr>
      <w:adjustRightInd w:val="0"/>
      <w:spacing w:before="120" w:after="120"/>
      <w:ind w:left="1700"/>
      <w:textAlignment w:val="baseline"/>
    </w:pPr>
    <w:rPr>
      <w:rFonts w:ascii="Book Antiqua" w:hAnsi="Book Antiqua"/>
      <w:kern w:val="0"/>
      <w:szCs w:val="20"/>
    </w:rPr>
  </w:style>
  <w:style w:type="paragraph" w:customStyle="1" w:styleId="18">
    <w:name w:val="文档控制-标题线Heading Bar"/>
    <w:basedOn w:val="1"/>
    <w:next w:val="4"/>
    <w:qFormat/>
    <w:uiPriority w:val="0"/>
    <w:pPr>
      <w:keepNext/>
      <w:keepLines/>
      <w:shd w:val="solid" w:color="auto" w:fill="auto"/>
      <w:overflowPunct w:val="0"/>
      <w:autoSpaceDE w:val="0"/>
      <w:autoSpaceDN w:val="0"/>
      <w:adjustRightInd w:val="0"/>
      <w:spacing w:before="120"/>
      <w:ind w:right="7586"/>
      <w:textAlignment w:val="baseline"/>
    </w:pPr>
    <w:rPr>
      <w:rFonts w:ascii="Book Antiqua" w:hAnsi="Book Antiqua"/>
      <w:color w:val="FFFFFF"/>
      <w:kern w:val="0"/>
      <w:sz w:val="8"/>
    </w:rPr>
  </w:style>
  <w:style w:type="paragraph" w:customStyle="1" w:styleId="19">
    <w:name w:val="Table Heading"/>
    <w:basedOn w:val="20"/>
    <w:qFormat/>
    <w:uiPriority w:val="0"/>
    <w:pPr>
      <w:spacing w:before="120" w:after="120"/>
    </w:pPr>
    <w:rPr>
      <w:rFonts w:ascii="宋体" w:hAnsi="Times New Roman"/>
      <w:b/>
      <w:szCs w:val="20"/>
    </w:rPr>
  </w:style>
  <w:style w:type="paragraph" w:customStyle="1" w:styleId="20">
    <w:name w:val="Table Text"/>
    <w:basedOn w:val="1"/>
    <w:qFormat/>
    <w:uiPriority w:val="0"/>
    <w:pPr>
      <w:keepLines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kern w:val="0"/>
      <w:sz w:val="16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2021-09-16T10:01:00Z</dcterms:created>
  <dc:creator>半缘修道半缘君</dc:creator>
  <cp:lastModifiedBy>半缘修道半缘君</cp:lastModifiedBy>
  <dcterms:modified xsi:type="dcterms:W3CDTF">2021-09-16T10:12:39Z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61EEA66F0634435698D6899F74E250C6</vt:lpwstr>
  </property>
</Properties>
</file>